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C6DA1" w14:textId="77777777" w:rsidR="00193149" w:rsidRDefault="00193149" w:rsidP="00D24010">
      <w:pPr>
        <w:tabs>
          <w:tab w:val="left" w:pos="206"/>
        </w:tabs>
        <w:ind w:left="206"/>
        <w:jc w:val="center"/>
        <w:rPr>
          <w:rFonts w:ascii="David" w:hAnsi="David" w:cs="David"/>
          <w:b/>
          <w:bCs/>
          <w:sz w:val="40"/>
          <w:szCs w:val="40"/>
          <w:u w:val="single"/>
          <w:rtl/>
        </w:rPr>
      </w:pPr>
    </w:p>
    <w:p w14:paraId="5E685595" w14:textId="6F337177" w:rsidR="00223701" w:rsidRPr="00695533" w:rsidRDefault="00223701" w:rsidP="00D24010">
      <w:pPr>
        <w:tabs>
          <w:tab w:val="left" w:pos="206"/>
        </w:tabs>
        <w:ind w:left="206"/>
        <w:jc w:val="center"/>
        <w:rPr>
          <w:rFonts w:ascii="David" w:hAnsi="David" w:cs="David"/>
          <w:b/>
          <w:bCs/>
          <w:sz w:val="40"/>
          <w:szCs w:val="40"/>
          <w:u w:val="single"/>
        </w:rPr>
      </w:pPr>
      <w:r w:rsidRPr="00695533">
        <w:rPr>
          <w:rFonts w:ascii="David" w:hAnsi="David" w:cs="David"/>
          <w:b/>
          <w:bCs/>
          <w:sz w:val="40"/>
          <w:szCs w:val="40"/>
          <w:u w:val="single"/>
          <w:rtl/>
        </w:rPr>
        <w:t xml:space="preserve">מדיניות תגמול לשנים </w:t>
      </w:r>
      <w:r w:rsidR="00D34B45">
        <w:rPr>
          <w:rFonts w:ascii="David" w:hAnsi="David" w:cs="David" w:hint="cs"/>
          <w:b/>
          <w:bCs/>
          <w:sz w:val="40"/>
          <w:szCs w:val="40"/>
          <w:u w:val="single"/>
          <w:rtl/>
        </w:rPr>
        <w:t>2022</w:t>
      </w:r>
      <w:r w:rsidR="00193149">
        <w:rPr>
          <w:rFonts w:ascii="David" w:hAnsi="David" w:cs="David" w:hint="cs"/>
          <w:b/>
          <w:bCs/>
          <w:sz w:val="40"/>
          <w:szCs w:val="40"/>
          <w:u w:val="single"/>
          <w:rtl/>
        </w:rPr>
        <w:t>-</w:t>
      </w:r>
      <w:r w:rsidR="00D34B45">
        <w:rPr>
          <w:rFonts w:ascii="David" w:hAnsi="David" w:cs="David" w:hint="cs"/>
          <w:b/>
          <w:bCs/>
          <w:sz w:val="40"/>
          <w:szCs w:val="40"/>
          <w:u w:val="single"/>
          <w:rtl/>
        </w:rPr>
        <w:t>2023</w:t>
      </w:r>
    </w:p>
    <w:p w14:paraId="63A80DD8" w14:textId="77777777" w:rsidR="00223701" w:rsidRPr="00695533" w:rsidRDefault="00223701" w:rsidP="00223701">
      <w:pPr>
        <w:numPr>
          <w:ilvl w:val="0"/>
          <w:numId w:val="1"/>
        </w:numPr>
        <w:tabs>
          <w:tab w:val="left" w:pos="206"/>
        </w:tabs>
        <w:spacing w:before="240" w:after="120"/>
        <w:ind w:left="204" w:hanging="357"/>
        <w:jc w:val="both"/>
        <w:rPr>
          <w:rFonts w:ascii="David" w:hAnsi="David" w:cs="David"/>
          <w:b/>
          <w:bCs/>
          <w:sz w:val="28"/>
          <w:szCs w:val="28"/>
          <w:u w:val="single"/>
        </w:rPr>
      </w:pPr>
      <w:r w:rsidRPr="00695533">
        <w:rPr>
          <w:rFonts w:ascii="David" w:hAnsi="David" w:cs="David"/>
          <w:b/>
          <w:bCs/>
          <w:sz w:val="28"/>
          <w:szCs w:val="28"/>
          <w:u w:val="single"/>
          <w:rtl/>
        </w:rPr>
        <w:t xml:space="preserve">הגדרות </w:t>
      </w:r>
    </w:p>
    <w:p w14:paraId="4127F3B5" w14:textId="77777777" w:rsidR="00223701" w:rsidRPr="00695533" w:rsidRDefault="00223701" w:rsidP="00223701">
      <w:pPr>
        <w:spacing w:after="305" w:line="256" w:lineRule="auto"/>
        <w:ind w:left="360"/>
        <w:jc w:val="both"/>
        <w:rPr>
          <w:rFonts w:ascii="David" w:hAnsi="David" w:cs="David"/>
        </w:rPr>
      </w:pPr>
      <w:r w:rsidRPr="00695533">
        <w:rPr>
          <w:rFonts w:ascii="David" w:hAnsi="David" w:cs="David"/>
          <w:rtl/>
        </w:rPr>
        <w:t xml:space="preserve">למונחים המאוזכרים במדיניות תגמול זו תהא המשמעות המופיעה להלן </w:t>
      </w:r>
      <w:proofErr w:type="spellStart"/>
      <w:r w:rsidRPr="00695533">
        <w:rPr>
          <w:rFonts w:ascii="David" w:hAnsi="David" w:cs="David"/>
          <w:rtl/>
        </w:rPr>
        <w:t>לצדם</w:t>
      </w:r>
      <w:proofErr w:type="spellEnd"/>
      <w:r w:rsidRPr="00695533">
        <w:rPr>
          <w:rFonts w:ascii="David" w:hAnsi="David" w:cs="David"/>
          <w:rtl/>
        </w:rPr>
        <w:t>:</w:t>
      </w:r>
    </w:p>
    <w:p w14:paraId="34BD313C" w14:textId="77777777" w:rsidR="00223701" w:rsidRPr="00695533" w:rsidRDefault="00223701" w:rsidP="00223701">
      <w:pPr>
        <w:pStyle w:val="a7"/>
        <w:numPr>
          <w:ilvl w:val="1"/>
          <w:numId w:val="2"/>
        </w:numPr>
        <w:tabs>
          <w:tab w:val="left" w:pos="206"/>
        </w:tabs>
        <w:spacing w:after="0" w:line="240" w:lineRule="auto"/>
        <w:ind w:right="0"/>
        <w:rPr>
          <w:szCs w:val="24"/>
        </w:rPr>
      </w:pPr>
      <w:r w:rsidRPr="00695533">
        <w:rPr>
          <w:szCs w:val="24"/>
          <w:rtl/>
        </w:rPr>
        <w:t xml:space="preserve"> "</w:t>
      </w:r>
      <w:r w:rsidRPr="00695533">
        <w:rPr>
          <w:bCs/>
          <w:szCs w:val="24"/>
          <w:rtl/>
        </w:rPr>
        <w:t>בעל תפקיד מרכזי</w:t>
      </w:r>
      <w:r w:rsidRPr="00695533">
        <w:rPr>
          <w:szCs w:val="24"/>
          <w:rtl/>
        </w:rPr>
        <w:t xml:space="preserve">" - כל אחד מאלה: נושאי משרה בחברה לרבות: יו"ר הדירקטוריון, מבקר פנים, מנהל כספים, מנהל סיכונים, יועץ משפטי, מנכ"ל, </w:t>
      </w:r>
      <w:r w:rsidR="00F25532" w:rsidRPr="00695533">
        <w:rPr>
          <w:szCs w:val="24"/>
          <w:rtl/>
        </w:rPr>
        <w:t xml:space="preserve">משנה למנכ"ל, </w:t>
      </w:r>
      <w:r w:rsidRPr="00695533">
        <w:rPr>
          <w:szCs w:val="24"/>
          <w:rtl/>
        </w:rPr>
        <w:t>סמנכ"ל, מנהל השקעות פנימי, כל ממלא תפקיד מהתפקידים המתוארים לעיל גם אם תואר תפקידו שונה.</w:t>
      </w:r>
    </w:p>
    <w:p w14:paraId="59169367" w14:textId="77777777" w:rsidR="00223701" w:rsidRPr="00695533" w:rsidRDefault="00223701" w:rsidP="00223701">
      <w:pPr>
        <w:pStyle w:val="a7"/>
        <w:tabs>
          <w:tab w:val="left" w:pos="206"/>
        </w:tabs>
        <w:spacing w:after="0" w:line="240" w:lineRule="auto"/>
        <w:ind w:right="0" w:firstLine="0"/>
        <w:rPr>
          <w:szCs w:val="24"/>
        </w:rPr>
      </w:pPr>
    </w:p>
    <w:p w14:paraId="5221B0A1" w14:textId="3E756B8C" w:rsidR="00223701" w:rsidRDefault="00223701" w:rsidP="00223701">
      <w:pPr>
        <w:pStyle w:val="a7"/>
        <w:numPr>
          <w:ilvl w:val="1"/>
          <w:numId w:val="2"/>
        </w:numPr>
        <w:tabs>
          <w:tab w:val="left" w:pos="206"/>
        </w:tabs>
        <w:spacing w:after="0" w:line="240" w:lineRule="auto"/>
        <w:ind w:right="0"/>
        <w:rPr>
          <w:szCs w:val="24"/>
        </w:rPr>
      </w:pPr>
      <w:r w:rsidRPr="00695533">
        <w:rPr>
          <w:szCs w:val="24"/>
          <w:rtl/>
        </w:rPr>
        <w:t>"</w:t>
      </w:r>
      <w:r w:rsidRPr="00695533">
        <w:rPr>
          <w:b/>
          <w:bCs/>
          <w:szCs w:val="24"/>
          <w:rtl/>
        </w:rPr>
        <w:t>נושא משרה"</w:t>
      </w:r>
      <w:r w:rsidRPr="00695533">
        <w:rPr>
          <w:szCs w:val="24"/>
          <w:rtl/>
        </w:rPr>
        <w:t xml:space="preserve"> - כהגדרתו בחוזר התגמול ובכלל זה בעלי התפקיד המרכזי המפורטים לעיל.</w:t>
      </w:r>
    </w:p>
    <w:p w14:paraId="0C86BB47" w14:textId="77777777" w:rsidR="0070529B" w:rsidRPr="0070529B" w:rsidRDefault="0070529B" w:rsidP="0070529B">
      <w:pPr>
        <w:pStyle w:val="a7"/>
        <w:rPr>
          <w:szCs w:val="24"/>
          <w:rtl/>
        </w:rPr>
      </w:pPr>
    </w:p>
    <w:p w14:paraId="39ABBD37" w14:textId="2CB8B19C" w:rsidR="0070529B" w:rsidRPr="00695533" w:rsidRDefault="0070529B" w:rsidP="00223701">
      <w:pPr>
        <w:pStyle w:val="a7"/>
        <w:numPr>
          <w:ilvl w:val="1"/>
          <w:numId w:val="2"/>
        </w:numPr>
        <w:tabs>
          <w:tab w:val="left" w:pos="206"/>
        </w:tabs>
        <w:spacing w:after="0" w:line="240" w:lineRule="auto"/>
        <w:ind w:right="0"/>
        <w:rPr>
          <w:szCs w:val="24"/>
        </w:rPr>
      </w:pPr>
      <w:r>
        <w:rPr>
          <w:rFonts w:hint="cs"/>
          <w:szCs w:val="24"/>
          <w:rtl/>
        </w:rPr>
        <w:t>"</w:t>
      </w:r>
      <w:r>
        <w:rPr>
          <w:rFonts w:hint="cs"/>
          <w:b/>
          <w:bCs/>
          <w:szCs w:val="24"/>
          <w:rtl/>
        </w:rPr>
        <w:t>עובד מפתח</w:t>
      </w:r>
      <w:r>
        <w:rPr>
          <w:rFonts w:hint="cs"/>
          <w:szCs w:val="24"/>
          <w:rtl/>
        </w:rPr>
        <w:t xml:space="preserve">" </w:t>
      </w:r>
      <w:r>
        <w:rPr>
          <w:szCs w:val="24"/>
          <w:rtl/>
        </w:rPr>
        <w:t>–</w:t>
      </w:r>
      <w:r>
        <w:rPr>
          <w:rFonts w:hint="cs"/>
          <w:szCs w:val="24"/>
          <w:rtl/>
        </w:rPr>
        <w:t xml:space="preserve"> עובד שאינו נושא משרה בחברה, אשר הוגדר ע"י ועדת תגמול כ"עובד מפתח".</w:t>
      </w:r>
    </w:p>
    <w:p w14:paraId="71820500" w14:textId="77777777" w:rsidR="00223701" w:rsidRPr="00695533" w:rsidRDefault="00223701" w:rsidP="00223701">
      <w:pPr>
        <w:pStyle w:val="a7"/>
        <w:rPr>
          <w:szCs w:val="24"/>
        </w:rPr>
      </w:pPr>
    </w:p>
    <w:p w14:paraId="2406BC26" w14:textId="4D167822" w:rsidR="00223701" w:rsidRPr="00695533" w:rsidRDefault="00223701" w:rsidP="00223701">
      <w:pPr>
        <w:pStyle w:val="a7"/>
        <w:numPr>
          <w:ilvl w:val="1"/>
          <w:numId w:val="2"/>
        </w:numPr>
        <w:tabs>
          <w:tab w:val="left" w:pos="206"/>
        </w:tabs>
        <w:spacing w:after="0" w:line="240" w:lineRule="auto"/>
        <w:ind w:right="0"/>
        <w:rPr>
          <w:szCs w:val="24"/>
          <w:rtl/>
        </w:rPr>
      </w:pPr>
      <w:r w:rsidRPr="00695533">
        <w:rPr>
          <w:b/>
          <w:bCs/>
          <w:szCs w:val="24"/>
          <w:rtl/>
        </w:rPr>
        <w:t>"חוזר התגמול"</w:t>
      </w:r>
      <w:r w:rsidRPr="00695533">
        <w:rPr>
          <w:szCs w:val="24"/>
          <w:rtl/>
        </w:rPr>
        <w:t xml:space="preserve"> - </w:t>
      </w:r>
      <w:r w:rsidR="00C6660A">
        <w:rPr>
          <w:rFonts w:hint="cs"/>
          <w:szCs w:val="24"/>
          <w:rtl/>
        </w:rPr>
        <w:t>החוזר המאוחד חלק 1 שער 5, פרק 5 שכותרתו "תגמול".</w:t>
      </w:r>
      <w:r w:rsidRPr="00695533">
        <w:rPr>
          <w:szCs w:val="24"/>
          <w:rtl/>
        </w:rPr>
        <w:t>.</w:t>
      </w:r>
    </w:p>
    <w:p w14:paraId="316CCE0E" w14:textId="77777777" w:rsidR="00223701" w:rsidRPr="00695533" w:rsidRDefault="00223701" w:rsidP="00223701">
      <w:pPr>
        <w:tabs>
          <w:tab w:val="left" w:pos="206"/>
        </w:tabs>
        <w:ind w:left="720"/>
        <w:jc w:val="both"/>
        <w:rPr>
          <w:rFonts w:ascii="David" w:hAnsi="David" w:cs="David"/>
        </w:rPr>
      </w:pPr>
    </w:p>
    <w:p w14:paraId="3629B72B" w14:textId="77777777" w:rsidR="00223701" w:rsidRPr="00695533" w:rsidRDefault="00223701" w:rsidP="00223701">
      <w:pPr>
        <w:pStyle w:val="a7"/>
        <w:numPr>
          <w:ilvl w:val="1"/>
          <w:numId w:val="2"/>
        </w:numPr>
        <w:tabs>
          <w:tab w:val="left" w:pos="206"/>
        </w:tabs>
        <w:spacing w:after="0" w:line="240" w:lineRule="auto"/>
        <w:ind w:right="0"/>
        <w:rPr>
          <w:szCs w:val="24"/>
          <w:rtl/>
        </w:rPr>
      </w:pPr>
      <w:r w:rsidRPr="00695533">
        <w:rPr>
          <w:b/>
          <w:bCs/>
          <w:szCs w:val="24"/>
          <w:rtl/>
        </w:rPr>
        <w:t xml:space="preserve">"החברה" ו/או גוף המוסדי" - </w:t>
      </w:r>
      <w:r w:rsidRPr="00695533">
        <w:rPr>
          <w:szCs w:val="24"/>
          <w:rtl/>
        </w:rPr>
        <w:t>החברה לניהול קרן השתלמות להנדסאים וטכנאים בע"מ.</w:t>
      </w:r>
    </w:p>
    <w:p w14:paraId="7964BC6B" w14:textId="77777777" w:rsidR="00223701" w:rsidRPr="00695533" w:rsidRDefault="00223701" w:rsidP="00223701">
      <w:pPr>
        <w:tabs>
          <w:tab w:val="left" w:pos="206"/>
        </w:tabs>
        <w:ind w:left="720"/>
        <w:jc w:val="both"/>
        <w:rPr>
          <w:rFonts w:ascii="David" w:hAnsi="David" w:cs="David"/>
        </w:rPr>
      </w:pPr>
    </w:p>
    <w:p w14:paraId="289D3FDF" w14:textId="77777777" w:rsidR="00223701" w:rsidRPr="00695533" w:rsidRDefault="00223701" w:rsidP="00223701">
      <w:pPr>
        <w:pStyle w:val="a7"/>
        <w:numPr>
          <w:ilvl w:val="1"/>
          <w:numId w:val="2"/>
        </w:numPr>
        <w:tabs>
          <w:tab w:val="left" w:pos="206"/>
        </w:tabs>
        <w:spacing w:after="0" w:line="240" w:lineRule="auto"/>
        <w:ind w:right="0"/>
        <w:rPr>
          <w:szCs w:val="24"/>
          <w:rtl/>
        </w:rPr>
      </w:pPr>
      <w:r w:rsidRPr="00695533">
        <w:rPr>
          <w:szCs w:val="24"/>
          <w:rtl/>
        </w:rPr>
        <w:t>"</w:t>
      </w:r>
      <w:r w:rsidRPr="00695533">
        <w:rPr>
          <w:bCs/>
          <w:szCs w:val="24"/>
          <w:rtl/>
        </w:rPr>
        <w:t>תגמול</w:t>
      </w:r>
      <w:r w:rsidRPr="00695533">
        <w:rPr>
          <w:szCs w:val="24"/>
          <w:rtl/>
        </w:rPr>
        <w:t>" – תנאי כהונה או העסקה, לרבות מתן פטור, ביטוח, התחייבות לשיפוי או שיפוי לפי היתר שיפוי, מענק פרישה או תנאי פרישה אחרים, תשלומי מעביד לזכויות סוציאליות וכל הטבה, תשלום אחר או התחייבות לתשלום כאמור הניתנים בשל כהונה או העסקה כאמור.</w:t>
      </w:r>
    </w:p>
    <w:p w14:paraId="33A8102D" w14:textId="77777777" w:rsidR="00223701" w:rsidRPr="00695533" w:rsidRDefault="00223701" w:rsidP="00223701">
      <w:pPr>
        <w:pStyle w:val="a7"/>
        <w:rPr>
          <w:szCs w:val="24"/>
        </w:rPr>
      </w:pPr>
    </w:p>
    <w:p w14:paraId="518150BC" w14:textId="77777777" w:rsidR="00223701" w:rsidRPr="00695533" w:rsidRDefault="00223701" w:rsidP="00223701">
      <w:pPr>
        <w:pStyle w:val="a7"/>
        <w:numPr>
          <w:ilvl w:val="1"/>
          <w:numId w:val="2"/>
        </w:numPr>
        <w:tabs>
          <w:tab w:val="left" w:pos="206"/>
        </w:tabs>
        <w:spacing w:after="0" w:line="240" w:lineRule="auto"/>
        <w:ind w:right="0"/>
        <w:rPr>
          <w:szCs w:val="24"/>
          <w:rtl/>
        </w:rPr>
      </w:pPr>
      <w:r w:rsidRPr="00695533">
        <w:rPr>
          <w:szCs w:val="24"/>
          <w:rtl/>
        </w:rPr>
        <w:t>"</w:t>
      </w:r>
      <w:r w:rsidRPr="00695533">
        <w:rPr>
          <w:b/>
          <w:bCs/>
          <w:szCs w:val="24"/>
          <w:rtl/>
        </w:rPr>
        <w:t>מדיניות תגמול</w:t>
      </w:r>
      <w:r w:rsidRPr="00695533">
        <w:rPr>
          <w:szCs w:val="24"/>
          <w:rtl/>
        </w:rPr>
        <w:t>" – מדיניות הקופה לתגמול לבעלי תפקידים מרכזיים כפי שמפורטת במסמך מדיניות זה ובכלל זה עקרונות תנאי התגמול ובכללם תנאי פרישה של בעלי תפקיד מרכזי ועקרונות תנאי התגמול של עובדים אחרים. תנאי התגמול ובכללם תנאי פרישה של נושאי משרה.</w:t>
      </w:r>
    </w:p>
    <w:p w14:paraId="69031396" w14:textId="77777777" w:rsidR="00223701" w:rsidRPr="00695533" w:rsidRDefault="00223701" w:rsidP="00223701">
      <w:pPr>
        <w:tabs>
          <w:tab w:val="left" w:pos="206"/>
        </w:tabs>
        <w:ind w:left="720"/>
        <w:jc w:val="both"/>
        <w:rPr>
          <w:rFonts w:ascii="David" w:hAnsi="David" w:cs="David"/>
          <w:rtl/>
        </w:rPr>
      </w:pPr>
    </w:p>
    <w:p w14:paraId="361352C9" w14:textId="77777777" w:rsidR="00223701" w:rsidRPr="00695533" w:rsidRDefault="00223701" w:rsidP="00223701">
      <w:pPr>
        <w:pStyle w:val="a7"/>
        <w:numPr>
          <w:ilvl w:val="1"/>
          <w:numId w:val="2"/>
        </w:numPr>
        <w:tabs>
          <w:tab w:val="left" w:pos="206"/>
        </w:tabs>
        <w:spacing w:after="0" w:line="240" w:lineRule="auto"/>
        <w:ind w:right="0"/>
        <w:rPr>
          <w:szCs w:val="24"/>
        </w:rPr>
      </w:pPr>
      <w:r w:rsidRPr="00695533">
        <w:rPr>
          <w:b/>
          <w:bCs/>
          <w:szCs w:val="24"/>
          <w:rtl/>
        </w:rPr>
        <w:t xml:space="preserve">"מענק פרישה" </w:t>
      </w:r>
      <w:r w:rsidRPr="00695533">
        <w:rPr>
          <w:szCs w:val="24"/>
          <w:rtl/>
        </w:rPr>
        <w:t>- כל תגמול המשולם לנושא משרה, בסיום תקופת העסקה, מעבר לתגמולים בגין סיום העסקה שנקבעו לכלל העובדים המועסקים בחברה.</w:t>
      </w:r>
    </w:p>
    <w:p w14:paraId="1E5BB513" w14:textId="77777777" w:rsidR="00223701" w:rsidRPr="00695533" w:rsidRDefault="00223701" w:rsidP="00223701">
      <w:pPr>
        <w:tabs>
          <w:tab w:val="left" w:pos="206"/>
        </w:tabs>
        <w:ind w:left="720"/>
        <w:jc w:val="both"/>
        <w:rPr>
          <w:rFonts w:ascii="David" w:hAnsi="David" w:cs="David"/>
        </w:rPr>
      </w:pPr>
    </w:p>
    <w:p w14:paraId="3F3E5B64" w14:textId="77777777" w:rsidR="00223701" w:rsidRPr="00695533" w:rsidRDefault="00223701" w:rsidP="00223701">
      <w:pPr>
        <w:pStyle w:val="a7"/>
        <w:numPr>
          <w:ilvl w:val="1"/>
          <w:numId w:val="2"/>
        </w:numPr>
        <w:tabs>
          <w:tab w:val="left" w:pos="206"/>
        </w:tabs>
        <w:spacing w:after="0" w:line="240" w:lineRule="auto"/>
        <w:ind w:right="0"/>
        <w:rPr>
          <w:szCs w:val="24"/>
        </w:rPr>
      </w:pPr>
      <w:r w:rsidRPr="00695533">
        <w:rPr>
          <w:b/>
          <w:bCs/>
          <w:szCs w:val="24"/>
          <w:rtl/>
        </w:rPr>
        <w:t xml:space="preserve">"הוראות הדין" </w:t>
      </w:r>
      <w:r w:rsidRPr="00695533">
        <w:rPr>
          <w:szCs w:val="24"/>
          <w:rtl/>
        </w:rPr>
        <w:t>- חקיקה ראשית, חקיקת משנה או כל חוזר, הוראה או הנחייה של רשות מוסמכת, כפי שיהיו בתוקף מעת לעת, לרבות חוזרים והוראות הממונה על אגף שוק ההון באוצר החלים על החברה או על האורגנים שלה או חוזרים והוראות רשות החברות הממשלתית.</w:t>
      </w:r>
    </w:p>
    <w:p w14:paraId="5644DBBA" w14:textId="77777777" w:rsidR="00223701" w:rsidRPr="00695533" w:rsidRDefault="00223701" w:rsidP="00223701">
      <w:pPr>
        <w:tabs>
          <w:tab w:val="left" w:pos="206"/>
        </w:tabs>
        <w:ind w:left="720"/>
        <w:jc w:val="both"/>
        <w:rPr>
          <w:rFonts w:ascii="David" w:hAnsi="David" w:cs="David"/>
          <w:b/>
          <w:bCs/>
        </w:rPr>
      </w:pPr>
    </w:p>
    <w:p w14:paraId="2AAE4497" w14:textId="77777777" w:rsidR="00223701" w:rsidRPr="00695533" w:rsidRDefault="00223701" w:rsidP="00223701">
      <w:pPr>
        <w:pStyle w:val="a7"/>
        <w:numPr>
          <w:ilvl w:val="1"/>
          <w:numId w:val="2"/>
        </w:numPr>
        <w:tabs>
          <w:tab w:val="left" w:pos="206"/>
        </w:tabs>
        <w:spacing w:after="0" w:line="240" w:lineRule="auto"/>
        <w:ind w:right="0"/>
        <w:rPr>
          <w:szCs w:val="24"/>
          <w:rtl/>
        </w:rPr>
      </w:pPr>
      <w:r w:rsidRPr="00695533">
        <w:rPr>
          <w:b/>
          <w:bCs/>
          <w:szCs w:val="24"/>
          <w:rtl/>
        </w:rPr>
        <w:t xml:space="preserve">"רכיב קבוע" – </w:t>
      </w:r>
      <w:r w:rsidRPr="00695533">
        <w:rPr>
          <w:szCs w:val="24"/>
          <w:rtl/>
        </w:rPr>
        <w:t xml:space="preserve">רכיב בתגמול שמתקיימים בו כל אלה: </w:t>
      </w:r>
    </w:p>
    <w:p w14:paraId="7A8A1C69" w14:textId="77777777" w:rsidR="00223701" w:rsidRPr="00695533" w:rsidRDefault="00223701" w:rsidP="00223701">
      <w:pPr>
        <w:pStyle w:val="a7"/>
        <w:numPr>
          <w:ilvl w:val="2"/>
          <w:numId w:val="2"/>
        </w:numPr>
        <w:tabs>
          <w:tab w:val="left" w:pos="206"/>
        </w:tabs>
        <w:spacing w:after="0" w:line="240" w:lineRule="auto"/>
        <w:ind w:right="0"/>
        <w:rPr>
          <w:szCs w:val="24"/>
          <w:rtl/>
        </w:rPr>
      </w:pPr>
      <w:r w:rsidRPr="00695533">
        <w:rPr>
          <w:szCs w:val="24"/>
          <w:rtl/>
        </w:rPr>
        <w:t>הענקתו אינה מותנית בביצועים.</w:t>
      </w:r>
    </w:p>
    <w:p w14:paraId="1F70D3E5" w14:textId="77777777" w:rsidR="00223701" w:rsidRPr="00695533" w:rsidRDefault="00223701" w:rsidP="00223701">
      <w:pPr>
        <w:pStyle w:val="a7"/>
        <w:numPr>
          <w:ilvl w:val="2"/>
          <w:numId w:val="2"/>
        </w:numPr>
        <w:tabs>
          <w:tab w:val="left" w:pos="206"/>
        </w:tabs>
        <w:spacing w:after="0" w:line="240" w:lineRule="auto"/>
        <w:ind w:right="0"/>
        <w:rPr>
          <w:szCs w:val="24"/>
        </w:rPr>
      </w:pPr>
      <w:r w:rsidRPr="00695533">
        <w:rPr>
          <w:szCs w:val="24"/>
          <w:rtl/>
        </w:rPr>
        <w:t>הוא נקבע מראש בהסכם התגמול או בתנאי ההעסקה.</w:t>
      </w:r>
    </w:p>
    <w:p w14:paraId="467DB376" w14:textId="77777777" w:rsidR="00223701" w:rsidRPr="00695533" w:rsidRDefault="00223701" w:rsidP="00223701">
      <w:pPr>
        <w:pStyle w:val="a7"/>
        <w:numPr>
          <w:ilvl w:val="2"/>
          <w:numId w:val="2"/>
        </w:numPr>
        <w:tabs>
          <w:tab w:val="left" w:pos="206"/>
        </w:tabs>
        <w:spacing w:after="0" w:line="240" w:lineRule="auto"/>
        <w:ind w:right="0"/>
        <w:rPr>
          <w:szCs w:val="24"/>
        </w:rPr>
      </w:pPr>
      <w:r w:rsidRPr="00695533">
        <w:rPr>
          <w:szCs w:val="24"/>
          <w:rtl/>
        </w:rPr>
        <w:t>סכומו הכספי קבוע.</w:t>
      </w:r>
    </w:p>
    <w:p w14:paraId="5F5A8357" w14:textId="77777777" w:rsidR="00223701" w:rsidRPr="00695533" w:rsidRDefault="00223701" w:rsidP="00223701">
      <w:pPr>
        <w:pStyle w:val="a7"/>
        <w:numPr>
          <w:ilvl w:val="2"/>
          <w:numId w:val="2"/>
        </w:numPr>
        <w:tabs>
          <w:tab w:val="left" w:pos="206"/>
        </w:tabs>
        <w:spacing w:after="0" w:line="240" w:lineRule="auto"/>
        <w:ind w:right="0"/>
        <w:rPr>
          <w:szCs w:val="24"/>
        </w:rPr>
      </w:pPr>
      <w:r w:rsidRPr="00695533">
        <w:rPr>
          <w:szCs w:val="24"/>
          <w:rtl/>
        </w:rPr>
        <w:t>הוא אינו תשלום מבוסס מניות</w:t>
      </w:r>
    </w:p>
    <w:p w14:paraId="2E6D99C4" w14:textId="77777777" w:rsidR="00223701" w:rsidRPr="00695533" w:rsidRDefault="00223701" w:rsidP="00223701">
      <w:pPr>
        <w:pStyle w:val="a7"/>
        <w:tabs>
          <w:tab w:val="left" w:pos="206"/>
        </w:tabs>
        <w:spacing w:after="0" w:line="240" w:lineRule="auto"/>
        <w:ind w:left="1440" w:right="0" w:firstLine="0"/>
        <w:rPr>
          <w:szCs w:val="24"/>
        </w:rPr>
      </w:pPr>
    </w:p>
    <w:p w14:paraId="3DB0C307" w14:textId="77777777" w:rsidR="00223701" w:rsidRPr="00695533" w:rsidRDefault="00223701" w:rsidP="00223701">
      <w:pPr>
        <w:pStyle w:val="a7"/>
        <w:numPr>
          <w:ilvl w:val="1"/>
          <w:numId w:val="2"/>
        </w:numPr>
        <w:tabs>
          <w:tab w:val="left" w:pos="206"/>
        </w:tabs>
        <w:spacing w:after="0" w:line="240" w:lineRule="auto"/>
        <w:ind w:right="0"/>
        <w:rPr>
          <w:szCs w:val="24"/>
        </w:rPr>
      </w:pPr>
      <w:r w:rsidRPr="00695533">
        <w:rPr>
          <w:b/>
          <w:bCs/>
          <w:szCs w:val="24"/>
          <w:rtl/>
        </w:rPr>
        <w:t xml:space="preserve">"רכיב משתנה" - </w:t>
      </w:r>
      <w:r w:rsidRPr="00695533">
        <w:rPr>
          <w:szCs w:val="24"/>
          <w:rtl/>
        </w:rPr>
        <w:t>כל רכיב בתגמול שאינו קבוע.</w:t>
      </w:r>
    </w:p>
    <w:p w14:paraId="4136C0AE" w14:textId="77777777" w:rsidR="00A77C15" w:rsidRPr="00695533" w:rsidRDefault="00A77C15" w:rsidP="00A77C15">
      <w:pPr>
        <w:pStyle w:val="a7"/>
        <w:tabs>
          <w:tab w:val="left" w:pos="206"/>
        </w:tabs>
        <w:spacing w:after="0" w:line="240" w:lineRule="auto"/>
        <w:ind w:right="0" w:firstLine="0"/>
        <w:rPr>
          <w:szCs w:val="24"/>
        </w:rPr>
      </w:pPr>
    </w:p>
    <w:p w14:paraId="6C8AA495" w14:textId="77777777" w:rsidR="00223701" w:rsidRPr="00695533" w:rsidRDefault="00223701" w:rsidP="00223701">
      <w:pPr>
        <w:numPr>
          <w:ilvl w:val="0"/>
          <w:numId w:val="1"/>
        </w:numPr>
        <w:tabs>
          <w:tab w:val="left" w:pos="206"/>
        </w:tabs>
        <w:spacing w:before="240" w:after="120"/>
        <w:ind w:left="204" w:hanging="357"/>
        <w:jc w:val="both"/>
        <w:rPr>
          <w:rFonts w:ascii="David" w:hAnsi="David" w:cs="David"/>
          <w:b/>
          <w:bCs/>
          <w:sz w:val="28"/>
          <w:szCs w:val="28"/>
          <w:u w:val="single"/>
        </w:rPr>
      </w:pPr>
      <w:r w:rsidRPr="00695533">
        <w:rPr>
          <w:rFonts w:ascii="David" w:hAnsi="David" w:cs="David"/>
          <w:b/>
          <w:bCs/>
          <w:sz w:val="28"/>
          <w:szCs w:val="28"/>
          <w:u w:val="single"/>
          <w:rtl/>
        </w:rPr>
        <w:lastRenderedPageBreak/>
        <w:t>כללי</w:t>
      </w:r>
    </w:p>
    <w:p w14:paraId="1DD8CC03" w14:textId="77777777" w:rsidR="00223701" w:rsidRPr="00695533" w:rsidRDefault="00223701" w:rsidP="00223701">
      <w:pPr>
        <w:pStyle w:val="a7"/>
        <w:numPr>
          <w:ilvl w:val="1"/>
          <w:numId w:val="3"/>
        </w:numPr>
        <w:tabs>
          <w:tab w:val="left" w:pos="206"/>
        </w:tabs>
        <w:spacing w:after="0" w:line="240" w:lineRule="auto"/>
        <w:ind w:right="0"/>
        <w:rPr>
          <w:szCs w:val="24"/>
        </w:rPr>
      </w:pPr>
      <w:r w:rsidRPr="00695533">
        <w:rPr>
          <w:szCs w:val="24"/>
          <w:rtl/>
        </w:rPr>
        <w:t>מסמך זה נועד להגדיר, לתאר ולפרט את מדיניות התגמול לנושאי המשרה, בעלי תפקידים מרכזיים ועובדים אחרים בחברה כפי שאומצה על ידי דירקטוריון החברה לאחר קבלת המלצת ועדת התגמול של החברה.</w:t>
      </w:r>
    </w:p>
    <w:p w14:paraId="21174783" w14:textId="77777777" w:rsidR="00223701" w:rsidRPr="00695533" w:rsidRDefault="00223701" w:rsidP="00223701">
      <w:pPr>
        <w:pStyle w:val="a7"/>
        <w:tabs>
          <w:tab w:val="left" w:pos="206"/>
        </w:tabs>
        <w:spacing w:after="0" w:line="240" w:lineRule="auto"/>
        <w:ind w:right="0" w:firstLine="0"/>
        <w:rPr>
          <w:szCs w:val="24"/>
        </w:rPr>
      </w:pPr>
    </w:p>
    <w:p w14:paraId="151F3DD1" w14:textId="77777777" w:rsidR="00223701" w:rsidRPr="00695533" w:rsidRDefault="00223701" w:rsidP="00223701">
      <w:pPr>
        <w:pStyle w:val="a7"/>
        <w:numPr>
          <w:ilvl w:val="1"/>
          <w:numId w:val="3"/>
        </w:numPr>
        <w:tabs>
          <w:tab w:val="left" w:pos="206"/>
        </w:tabs>
        <w:spacing w:after="0" w:line="240" w:lineRule="auto"/>
        <w:ind w:right="0"/>
        <w:rPr>
          <w:szCs w:val="24"/>
        </w:rPr>
      </w:pPr>
      <w:r w:rsidRPr="00695533">
        <w:rPr>
          <w:szCs w:val="24"/>
          <w:rtl/>
        </w:rPr>
        <w:t xml:space="preserve">מדיניות התגמול תקבע בהתאם להוראות תיקון </w:t>
      </w:r>
      <w:r w:rsidRPr="00695533">
        <w:rPr>
          <w:szCs w:val="24"/>
        </w:rPr>
        <w:t>20</w:t>
      </w:r>
      <w:r w:rsidRPr="00695533">
        <w:rPr>
          <w:szCs w:val="24"/>
          <w:rtl/>
        </w:rPr>
        <w:t xml:space="preserve"> לחוק החברות ובהתאם לחוזר התגמול.</w:t>
      </w:r>
      <w:r w:rsidRPr="00695533">
        <w:rPr>
          <w:rFonts w:eastAsia="Arial"/>
          <w:szCs w:val="24"/>
          <w:rtl/>
        </w:rPr>
        <w:t xml:space="preserve"> </w:t>
      </w:r>
    </w:p>
    <w:p w14:paraId="6A932A81" w14:textId="77777777" w:rsidR="00223701" w:rsidRPr="00695533" w:rsidRDefault="00223701" w:rsidP="00223701">
      <w:pPr>
        <w:pStyle w:val="a7"/>
        <w:rPr>
          <w:szCs w:val="24"/>
        </w:rPr>
      </w:pPr>
    </w:p>
    <w:p w14:paraId="2AD27DD1" w14:textId="77777777" w:rsidR="00223701" w:rsidRPr="00695533" w:rsidRDefault="00223701" w:rsidP="00223701">
      <w:pPr>
        <w:pStyle w:val="a7"/>
        <w:numPr>
          <w:ilvl w:val="1"/>
          <w:numId w:val="3"/>
        </w:numPr>
        <w:tabs>
          <w:tab w:val="left" w:pos="206"/>
        </w:tabs>
        <w:spacing w:after="0" w:line="240" w:lineRule="auto"/>
        <w:ind w:right="0"/>
        <w:rPr>
          <w:szCs w:val="24"/>
          <w:rtl/>
        </w:rPr>
      </w:pPr>
      <w:r w:rsidRPr="00695533">
        <w:rPr>
          <w:szCs w:val="24"/>
          <w:rtl/>
        </w:rPr>
        <w:t>מדיניות התגמול מטרתה לקבוע כללים, קריטריונים ואמות מידה שלפיהם ייקבעו תנאי כהונתם והעסקתם של נושאי המשרה, בעלי תפקיד מרכזי ועובדים אחרים בחברה, וכן אשר לשיקולים העומדים בבסיס קביעתם, תוך התאמה למאפיינים הספציפיים של הפעילות עליה אחראי העובד הרלבנטי, לניסיונו, הכשרתו וביצוע התפקיד על ידו.</w:t>
      </w:r>
    </w:p>
    <w:p w14:paraId="6831846E" w14:textId="77777777" w:rsidR="00223701" w:rsidRPr="00695533" w:rsidRDefault="00223701" w:rsidP="00223701">
      <w:pPr>
        <w:pStyle w:val="a7"/>
        <w:tabs>
          <w:tab w:val="left" w:pos="206"/>
        </w:tabs>
        <w:spacing w:after="0" w:line="240" w:lineRule="auto"/>
        <w:ind w:right="0" w:firstLine="0"/>
        <w:rPr>
          <w:szCs w:val="24"/>
        </w:rPr>
      </w:pPr>
    </w:p>
    <w:p w14:paraId="4EB25111" w14:textId="77777777" w:rsidR="00223701" w:rsidRPr="00695533" w:rsidRDefault="00223701" w:rsidP="00223701">
      <w:pPr>
        <w:pStyle w:val="a7"/>
        <w:numPr>
          <w:ilvl w:val="1"/>
          <w:numId w:val="3"/>
        </w:numPr>
        <w:tabs>
          <w:tab w:val="left" w:pos="206"/>
        </w:tabs>
        <w:spacing w:after="0" w:line="240" w:lineRule="auto"/>
        <w:ind w:right="0"/>
        <w:rPr>
          <w:szCs w:val="24"/>
        </w:rPr>
      </w:pPr>
      <w:r w:rsidRPr="00695533">
        <w:rPr>
          <w:szCs w:val="24"/>
          <w:rtl/>
        </w:rPr>
        <w:t>מדיניות התגמול נערכה בהתחשב באופייה של החברה המנהלת קופת גמל ענפית, ובשים לב לגודלה של החברה.</w:t>
      </w:r>
    </w:p>
    <w:p w14:paraId="29DCE29A" w14:textId="77777777" w:rsidR="00223701" w:rsidRPr="00695533" w:rsidRDefault="00223701" w:rsidP="00223701">
      <w:pPr>
        <w:pStyle w:val="a7"/>
        <w:rPr>
          <w:szCs w:val="24"/>
        </w:rPr>
      </w:pPr>
    </w:p>
    <w:p w14:paraId="19EDF73A" w14:textId="77777777" w:rsidR="00223701" w:rsidRPr="00695533" w:rsidRDefault="00223701" w:rsidP="00223701">
      <w:pPr>
        <w:pStyle w:val="a7"/>
        <w:numPr>
          <w:ilvl w:val="1"/>
          <w:numId w:val="3"/>
        </w:numPr>
        <w:tabs>
          <w:tab w:val="left" w:pos="206"/>
        </w:tabs>
        <w:spacing w:after="0" w:line="240" w:lineRule="auto"/>
        <w:ind w:right="0"/>
        <w:rPr>
          <w:szCs w:val="24"/>
          <w:rtl/>
        </w:rPr>
      </w:pPr>
      <w:r w:rsidRPr="00695533">
        <w:rPr>
          <w:szCs w:val="24"/>
          <w:rtl/>
        </w:rPr>
        <w:t xml:space="preserve">ניסוח מדיניות התגמול בלשון זכר הינו מטעמי נוחות בלבד והיא מיועדת לנשים וגברים כאחד. </w:t>
      </w:r>
    </w:p>
    <w:p w14:paraId="59323845" w14:textId="77777777" w:rsidR="00223701" w:rsidRPr="00695533" w:rsidRDefault="00223701" w:rsidP="00223701">
      <w:pPr>
        <w:numPr>
          <w:ilvl w:val="0"/>
          <w:numId w:val="1"/>
        </w:numPr>
        <w:tabs>
          <w:tab w:val="left" w:pos="206"/>
        </w:tabs>
        <w:spacing w:before="240" w:after="120"/>
        <w:ind w:left="204" w:hanging="357"/>
        <w:jc w:val="both"/>
        <w:rPr>
          <w:rFonts w:ascii="David" w:hAnsi="David" w:cs="David"/>
          <w:b/>
          <w:bCs/>
          <w:sz w:val="28"/>
          <w:szCs w:val="28"/>
          <w:u w:val="single"/>
        </w:rPr>
      </w:pPr>
      <w:r w:rsidRPr="00695533">
        <w:rPr>
          <w:rFonts w:ascii="David" w:hAnsi="David" w:cs="David"/>
          <w:b/>
          <w:bCs/>
          <w:sz w:val="28"/>
          <w:szCs w:val="28"/>
          <w:u w:val="single"/>
          <w:rtl/>
        </w:rPr>
        <w:t xml:space="preserve">מטרות ושיקולים בקביעת מדיניות התגמול </w:t>
      </w:r>
    </w:p>
    <w:p w14:paraId="76A5A4DA" w14:textId="77777777" w:rsidR="00223701" w:rsidRPr="00695533" w:rsidRDefault="00223701" w:rsidP="00223701">
      <w:pPr>
        <w:ind w:left="759" w:right="-14"/>
        <w:jc w:val="both"/>
        <w:rPr>
          <w:rFonts w:ascii="David" w:eastAsia="Arial" w:hAnsi="David" w:cs="David"/>
          <w:rtl/>
        </w:rPr>
      </w:pPr>
      <w:r w:rsidRPr="00695533">
        <w:rPr>
          <w:rFonts w:ascii="David" w:hAnsi="David" w:cs="David"/>
          <w:rtl/>
        </w:rPr>
        <w:t>מדיניות תגמול זו נקבעה מתוך מטרה לסייע בהשגת מטרות החברה ותוכניות העבודה שלה בראייה ארוכת טווח תוך התחשבות בניהול הסיכונים שלה ובין היתר בהתחשב בשיקולים הבאים:</w:t>
      </w:r>
      <w:r w:rsidRPr="00695533">
        <w:rPr>
          <w:rFonts w:ascii="David" w:eastAsia="Arial" w:hAnsi="David" w:cs="David"/>
          <w:rtl/>
        </w:rPr>
        <w:t xml:space="preserve"> </w:t>
      </w:r>
    </w:p>
    <w:p w14:paraId="4BB22DB7" w14:textId="77777777" w:rsidR="00223701" w:rsidRPr="00695533" w:rsidRDefault="00223701" w:rsidP="00223701">
      <w:pPr>
        <w:ind w:left="759" w:right="-14"/>
        <w:jc w:val="both"/>
        <w:rPr>
          <w:rFonts w:ascii="David" w:hAnsi="David" w:cs="David"/>
        </w:rPr>
      </w:pPr>
    </w:p>
    <w:p w14:paraId="0D909C53" w14:textId="77777777" w:rsidR="00223701" w:rsidRPr="00695533" w:rsidRDefault="00223701" w:rsidP="00223701">
      <w:pPr>
        <w:pStyle w:val="a7"/>
        <w:numPr>
          <w:ilvl w:val="0"/>
          <w:numId w:val="4"/>
        </w:numPr>
        <w:tabs>
          <w:tab w:val="left" w:pos="206"/>
        </w:tabs>
        <w:spacing w:after="0" w:line="240" w:lineRule="auto"/>
        <w:ind w:right="0"/>
        <w:rPr>
          <w:szCs w:val="24"/>
        </w:rPr>
      </w:pPr>
      <w:r w:rsidRPr="00695533">
        <w:rPr>
          <w:szCs w:val="24"/>
          <w:rtl/>
        </w:rPr>
        <w:t>היקף נכסי החברה ונכסי החיסכון המנוהלים על ידה, וכן אופי ומורכבות פעילותה ובהתחשב בכך שמדובר בקופה מפעלית הפועלת ללא מטרת רווח ואשר דמי הניהול בה נגזרים מהוצאותיה בפועל.</w:t>
      </w:r>
    </w:p>
    <w:p w14:paraId="7FC9E3A1" w14:textId="77777777" w:rsidR="00223701" w:rsidRPr="00695533" w:rsidRDefault="00223701" w:rsidP="00223701">
      <w:pPr>
        <w:pStyle w:val="a7"/>
        <w:tabs>
          <w:tab w:val="left" w:pos="206"/>
        </w:tabs>
        <w:spacing w:after="0" w:line="240" w:lineRule="auto"/>
        <w:ind w:right="0" w:firstLine="0"/>
        <w:rPr>
          <w:szCs w:val="24"/>
        </w:rPr>
      </w:pPr>
    </w:p>
    <w:p w14:paraId="7F2EA2A0" w14:textId="77777777" w:rsidR="00223701" w:rsidRPr="00695533" w:rsidRDefault="00223701" w:rsidP="00223701">
      <w:pPr>
        <w:pStyle w:val="a7"/>
        <w:numPr>
          <w:ilvl w:val="0"/>
          <w:numId w:val="4"/>
        </w:numPr>
        <w:tabs>
          <w:tab w:val="left" w:pos="206"/>
        </w:tabs>
        <w:spacing w:after="0" w:line="240" w:lineRule="auto"/>
        <w:ind w:right="0"/>
        <w:rPr>
          <w:szCs w:val="24"/>
        </w:rPr>
      </w:pPr>
      <w:r w:rsidRPr="00695533">
        <w:rPr>
          <w:szCs w:val="24"/>
          <w:rtl/>
        </w:rPr>
        <w:t>מצבה הפיננסי של החברה ובכלל זה העובדה שמדובר בקופה הפועלת ללא מטרת רווח שאינה מחזיקה הון עצמי.</w:t>
      </w:r>
    </w:p>
    <w:p w14:paraId="1DA197D5" w14:textId="77777777" w:rsidR="00223701" w:rsidRPr="00695533" w:rsidRDefault="00223701" w:rsidP="0023089A">
      <w:pPr>
        <w:tabs>
          <w:tab w:val="left" w:pos="206"/>
        </w:tabs>
        <w:rPr>
          <w:rFonts w:ascii="David" w:hAnsi="David" w:cs="David"/>
        </w:rPr>
      </w:pPr>
    </w:p>
    <w:p w14:paraId="5B4A816C" w14:textId="77777777" w:rsidR="00223701" w:rsidRPr="00695533" w:rsidRDefault="00223701" w:rsidP="00223701">
      <w:pPr>
        <w:pStyle w:val="a7"/>
        <w:numPr>
          <w:ilvl w:val="0"/>
          <w:numId w:val="4"/>
        </w:numPr>
        <w:tabs>
          <w:tab w:val="left" w:pos="206"/>
        </w:tabs>
        <w:spacing w:after="0" w:line="240" w:lineRule="auto"/>
        <w:ind w:right="0"/>
        <w:rPr>
          <w:szCs w:val="24"/>
        </w:rPr>
      </w:pPr>
      <w:r w:rsidRPr="00695533">
        <w:rPr>
          <w:szCs w:val="24"/>
          <w:rtl/>
        </w:rPr>
        <w:t xml:space="preserve">יכולתה של החברה לגייס ולשמר מנהלים ועובדים איכותיים ברמה גבוהה, בעלי ידע מקצועי ספציפי והתמחות ייחודיים, בעלי יכולת להשיא את תשואות הקופה תוך שימור הוצאות ברמה סבירה (שמירה על דמי ניהול נמוכים), שימור עמיתים וגיוס עמיתים חדשים תוך התמודדות עם האתגרים העומדים בפניה. </w:t>
      </w:r>
    </w:p>
    <w:p w14:paraId="5453EB2B" w14:textId="77777777" w:rsidR="00223701" w:rsidRPr="00695533" w:rsidRDefault="00223701" w:rsidP="00223701">
      <w:pPr>
        <w:pStyle w:val="a7"/>
        <w:tabs>
          <w:tab w:val="left" w:pos="206"/>
        </w:tabs>
        <w:spacing w:after="0" w:line="240" w:lineRule="auto"/>
        <w:ind w:right="0" w:firstLine="0"/>
        <w:rPr>
          <w:szCs w:val="24"/>
        </w:rPr>
      </w:pPr>
    </w:p>
    <w:p w14:paraId="3271AFC8" w14:textId="77777777" w:rsidR="00223701" w:rsidRPr="00695533" w:rsidRDefault="00223701" w:rsidP="00223701">
      <w:pPr>
        <w:pStyle w:val="a7"/>
        <w:numPr>
          <w:ilvl w:val="0"/>
          <w:numId w:val="4"/>
        </w:numPr>
        <w:tabs>
          <w:tab w:val="left" w:pos="206"/>
        </w:tabs>
        <w:spacing w:after="0" w:line="240" w:lineRule="auto"/>
        <w:ind w:right="0"/>
        <w:rPr>
          <w:szCs w:val="24"/>
        </w:rPr>
      </w:pPr>
      <w:r w:rsidRPr="00695533">
        <w:rPr>
          <w:szCs w:val="24"/>
          <w:rtl/>
        </w:rPr>
        <w:t xml:space="preserve">יכולתה של החברה לתמרץ מנהלים ועובדים להשגת רמה גבוהה של ביצועים עסקיים, תוך נטילת סיכונים מושכלת וסבירה, וזאת בהתייחס לאופי החברה ובהתייחס לכספי חוסכים באמצעותה. </w:t>
      </w:r>
    </w:p>
    <w:p w14:paraId="4E71595B" w14:textId="77777777" w:rsidR="00223701" w:rsidRPr="00695533" w:rsidRDefault="00223701" w:rsidP="00223701">
      <w:pPr>
        <w:pStyle w:val="a7"/>
        <w:tabs>
          <w:tab w:val="left" w:pos="206"/>
        </w:tabs>
        <w:spacing w:after="0" w:line="240" w:lineRule="auto"/>
        <w:ind w:right="0" w:firstLine="0"/>
        <w:rPr>
          <w:szCs w:val="24"/>
        </w:rPr>
      </w:pPr>
    </w:p>
    <w:p w14:paraId="6D7DDFC2" w14:textId="77777777" w:rsidR="00223701" w:rsidRPr="00695533" w:rsidRDefault="00223701" w:rsidP="00223701">
      <w:pPr>
        <w:pStyle w:val="a7"/>
        <w:numPr>
          <w:ilvl w:val="0"/>
          <w:numId w:val="4"/>
        </w:numPr>
        <w:tabs>
          <w:tab w:val="left" w:pos="206"/>
        </w:tabs>
        <w:spacing w:after="0" w:line="240" w:lineRule="auto"/>
        <w:ind w:right="0"/>
        <w:rPr>
          <w:szCs w:val="24"/>
        </w:rPr>
      </w:pPr>
      <w:r w:rsidRPr="00695533">
        <w:rPr>
          <w:szCs w:val="24"/>
          <w:rtl/>
        </w:rPr>
        <w:t xml:space="preserve">הלימה של תנאי התגמול את גודל החברה ואופי פעילותה. </w:t>
      </w:r>
    </w:p>
    <w:p w14:paraId="10FDFE4E" w14:textId="77777777" w:rsidR="005C53E2" w:rsidRPr="00695533" w:rsidRDefault="005C53E2" w:rsidP="009378A9">
      <w:pPr>
        <w:pStyle w:val="a7"/>
        <w:rPr>
          <w:szCs w:val="24"/>
          <w:rtl/>
        </w:rPr>
      </w:pPr>
    </w:p>
    <w:p w14:paraId="7B11AE4E" w14:textId="58992EAE" w:rsidR="005C53E2" w:rsidRPr="00695533" w:rsidRDefault="005C53E2" w:rsidP="00875B29">
      <w:pPr>
        <w:pStyle w:val="a7"/>
        <w:numPr>
          <w:ilvl w:val="0"/>
          <w:numId w:val="4"/>
        </w:numPr>
        <w:tabs>
          <w:tab w:val="left" w:pos="206"/>
        </w:tabs>
        <w:spacing w:after="0" w:line="240" w:lineRule="auto"/>
        <w:ind w:right="0"/>
        <w:rPr>
          <w:szCs w:val="24"/>
        </w:rPr>
      </w:pPr>
      <w:proofErr w:type="spellStart"/>
      <w:r w:rsidRPr="00695533">
        <w:rPr>
          <w:szCs w:val="24"/>
          <w:rtl/>
        </w:rPr>
        <w:t>אסדרות</w:t>
      </w:r>
      <w:proofErr w:type="spellEnd"/>
      <w:r w:rsidRPr="00695533">
        <w:rPr>
          <w:szCs w:val="24"/>
          <w:rtl/>
        </w:rPr>
        <w:t xml:space="preserve"> צפויות, שעשויות להיות להן ה</w:t>
      </w:r>
      <w:r w:rsidR="002357AC" w:rsidRPr="00695533">
        <w:rPr>
          <w:szCs w:val="24"/>
          <w:rtl/>
        </w:rPr>
        <w:t>שלכות מהותיות על מדיניות התגמול</w:t>
      </w:r>
      <w:r w:rsidRPr="00695533">
        <w:rPr>
          <w:szCs w:val="24"/>
          <w:rtl/>
        </w:rPr>
        <w:t xml:space="preserve"> שפורסמה טיוטה שלהן, לרבות תזכירי חוק וכ</w:t>
      </w:r>
      <w:r w:rsidR="002357AC" w:rsidRPr="00695533">
        <w:rPr>
          <w:szCs w:val="24"/>
          <w:rtl/>
        </w:rPr>
        <w:t>ן עמדות הממונה על שוק ההון, הרלבנ</w:t>
      </w:r>
      <w:r w:rsidRPr="00695533">
        <w:rPr>
          <w:szCs w:val="24"/>
          <w:rtl/>
        </w:rPr>
        <w:t>טיות לתגמול בעלי תפקידים בגופים מוסדיים.</w:t>
      </w:r>
    </w:p>
    <w:p w14:paraId="7058DA79" w14:textId="7C65A14C" w:rsidR="00223701" w:rsidRPr="002C3403" w:rsidRDefault="00223701" w:rsidP="002C3403">
      <w:pPr>
        <w:tabs>
          <w:tab w:val="left" w:pos="206"/>
        </w:tabs>
      </w:pPr>
    </w:p>
    <w:p w14:paraId="1BC242C7" w14:textId="77777777" w:rsidR="00223701" w:rsidRPr="00695533" w:rsidRDefault="00223701" w:rsidP="00223701">
      <w:pPr>
        <w:tabs>
          <w:tab w:val="left" w:pos="206"/>
        </w:tabs>
        <w:ind w:left="206"/>
        <w:jc w:val="both"/>
        <w:rPr>
          <w:rFonts w:ascii="David" w:hAnsi="David" w:cs="David"/>
        </w:rPr>
      </w:pPr>
      <w:r w:rsidRPr="00695533">
        <w:rPr>
          <w:rFonts w:ascii="David" w:hAnsi="David" w:cs="David"/>
          <w:b/>
          <w:bCs/>
          <w:u w:val="single" w:color="000000"/>
          <w:rtl/>
        </w:rPr>
        <w:t>עקרונות תגמול</w:t>
      </w:r>
    </w:p>
    <w:p w14:paraId="068898A6" w14:textId="77777777" w:rsidR="00223701" w:rsidRPr="00695533" w:rsidRDefault="00223701" w:rsidP="00223701">
      <w:pPr>
        <w:numPr>
          <w:ilvl w:val="0"/>
          <w:numId w:val="1"/>
        </w:numPr>
        <w:tabs>
          <w:tab w:val="left" w:pos="206"/>
        </w:tabs>
        <w:spacing w:before="240" w:after="120"/>
        <w:ind w:left="204" w:hanging="357"/>
        <w:jc w:val="both"/>
        <w:rPr>
          <w:rFonts w:ascii="David" w:hAnsi="David" w:cs="David"/>
          <w:b/>
          <w:bCs/>
          <w:sz w:val="28"/>
          <w:szCs w:val="28"/>
          <w:u w:val="single"/>
        </w:rPr>
      </w:pPr>
      <w:r w:rsidRPr="00695533">
        <w:rPr>
          <w:rFonts w:ascii="David" w:hAnsi="David" w:cs="David"/>
          <w:b/>
          <w:bCs/>
          <w:sz w:val="28"/>
          <w:szCs w:val="28"/>
          <w:u w:val="single"/>
          <w:rtl/>
        </w:rPr>
        <w:t>תגמול דירקטורים בחברה</w:t>
      </w:r>
    </w:p>
    <w:p w14:paraId="4154CF4D" w14:textId="11DFE680" w:rsidR="00223701" w:rsidRDefault="00223701" w:rsidP="00D819B6">
      <w:pPr>
        <w:pStyle w:val="a7"/>
        <w:numPr>
          <w:ilvl w:val="1"/>
          <w:numId w:val="5"/>
        </w:numPr>
        <w:tabs>
          <w:tab w:val="left" w:pos="206"/>
        </w:tabs>
        <w:spacing w:after="5" w:line="247" w:lineRule="auto"/>
        <w:ind w:left="750" w:right="-13"/>
      </w:pPr>
      <w:r w:rsidRPr="00695533">
        <w:rPr>
          <w:szCs w:val="24"/>
          <w:rtl/>
        </w:rPr>
        <w:t xml:space="preserve">הדירקטורים </w:t>
      </w:r>
      <w:r w:rsidR="00D34B45">
        <w:rPr>
          <w:rFonts w:hint="cs"/>
          <w:szCs w:val="24"/>
          <w:rtl/>
        </w:rPr>
        <w:t xml:space="preserve">שימונו מטעם רשות החברות </w:t>
      </w:r>
      <w:r w:rsidR="001C0E99" w:rsidRPr="00695533">
        <w:rPr>
          <w:szCs w:val="24"/>
          <w:rtl/>
        </w:rPr>
        <w:t>בחברה</w:t>
      </w:r>
      <w:r w:rsidR="00590E81" w:rsidRPr="00695533">
        <w:rPr>
          <w:szCs w:val="24"/>
          <w:rtl/>
        </w:rPr>
        <w:t xml:space="preserve"> </w:t>
      </w:r>
      <w:r w:rsidRPr="00695533">
        <w:rPr>
          <w:szCs w:val="24"/>
          <w:rtl/>
        </w:rPr>
        <w:t xml:space="preserve">והדירקטורים החיצוניים בחברה יהיו זכאים לתגמול בגין השתתפות בישיבה ולתגמול שנתי, בהתאם להוראות תקנות החברות (כללים בדבר גמול והוצאות לדירקטור מקרב הציבור בחברות הממשלתיות) התשנ"ד-1994 (להלן: "תקנות הגמול"), כפי שיתעדכן מעת לעת. (לעניין זה לא יובאו בחשבון מיומנויות כלשהן של דירקטור כלשהו) ובהתאם להוראות רשות החברות הממשלתיות, תקנון החברה והחלטות </w:t>
      </w:r>
      <w:proofErr w:type="spellStart"/>
      <w:r w:rsidRPr="00695533">
        <w:rPr>
          <w:szCs w:val="24"/>
          <w:rtl/>
        </w:rPr>
        <w:t>האסיפה</w:t>
      </w:r>
      <w:proofErr w:type="spellEnd"/>
      <w:r w:rsidRPr="00695533">
        <w:rPr>
          <w:szCs w:val="24"/>
          <w:rtl/>
        </w:rPr>
        <w:t xml:space="preserve"> הכללית כפי שיהיו מעת לעת. </w:t>
      </w:r>
    </w:p>
    <w:p w14:paraId="4BE34F7B" w14:textId="1AE529E2" w:rsidR="00D34B45" w:rsidRPr="00F93EFB" w:rsidRDefault="00D34B45" w:rsidP="00F93EFB">
      <w:pPr>
        <w:pStyle w:val="a7"/>
        <w:numPr>
          <w:ilvl w:val="1"/>
          <w:numId w:val="5"/>
        </w:numPr>
        <w:tabs>
          <w:tab w:val="left" w:pos="206"/>
        </w:tabs>
        <w:spacing w:after="5" w:line="276" w:lineRule="auto"/>
        <w:ind w:right="-13"/>
        <w:rPr>
          <w:szCs w:val="24"/>
        </w:rPr>
      </w:pPr>
      <w:r>
        <w:rPr>
          <w:rFonts w:hint="cs"/>
          <w:szCs w:val="24"/>
          <w:rtl/>
        </w:rPr>
        <w:lastRenderedPageBreak/>
        <w:t xml:space="preserve">כפוף </w:t>
      </w:r>
      <w:r w:rsidR="003D40C7">
        <w:rPr>
          <w:rFonts w:hint="cs"/>
          <w:szCs w:val="24"/>
          <w:rtl/>
        </w:rPr>
        <w:t xml:space="preserve">ורק לאחר </w:t>
      </w:r>
      <w:r>
        <w:rPr>
          <w:rFonts w:hint="cs"/>
          <w:szCs w:val="24"/>
          <w:rtl/>
        </w:rPr>
        <w:t>אישור תיקון לתקנון החברה להסדרת נושא הגמול ל</w:t>
      </w:r>
      <w:r w:rsidRPr="00F93EFB">
        <w:rPr>
          <w:rFonts w:hint="eastAsia"/>
          <w:szCs w:val="24"/>
          <w:rtl/>
        </w:rPr>
        <w:t>דירקטורים</w:t>
      </w:r>
      <w:r w:rsidRPr="00F93EFB">
        <w:rPr>
          <w:szCs w:val="24"/>
          <w:rtl/>
        </w:rPr>
        <w:t xml:space="preserve"> שימונו מטעם הסתדרות ההנדסאים בחברה </w:t>
      </w:r>
      <w:r>
        <w:rPr>
          <w:rFonts w:hint="cs"/>
          <w:szCs w:val="24"/>
          <w:rtl/>
        </w:rPr>
        <w:t xml:space="preserve">דירקטורים אלה </w:t>
      </w:r>
      <w:r w:rsidRPr="00F93EFB">
        <w:rPr>
          <w:rFonts w:hint="eastAsia"/>
          <w:szCs w:val="24"/>
          <w:rtl/>
        </w:rPr>
        <w:t>יהיו</w:t>
      </w:r>
      <w:r w:rsidRPr="00F93EFB">
        <w:rPr>
          <w:szCs w:val="24"/>
          <w:rtl/>
        </w:rPr>
        <w:t xml:space="preserve"> זכאים לגמול בהתאם להוראות "עמדת ממונה בנוגע לתשלום גמול לדירקטור שאינו דירקטור חיצוני בחברה המנהלת קופות גמל ענפיות בלבד" </w:t>
      </w:r>
      <w:r w:rsidRPr="00F93EFB">
        <w:rPr>
          <w:rFonts w:hint="eastAsia"/>
          <w:szCs w:val="24"/>
          <w:rtl/>
        </w:rPr>
        <w:t>כפי</w:t>
      </w:r>
      <w:r w:rsidRPr="00F93EFB">
        <w:rPr>
          <w:szCs w:val="24"/>
          <w:rtl/>
        </w:rPr>
        <w:t xml:space="preserve"> </w:t>
      </w:r>
      <w:r w:rsidRPr="00F93EFB">
        <w:rPr>
          <w:rFonts w:hint="eastAsia"/>
          <w:szCs w:val="24"/>
          <w:rtl/>
        </w:rPr>
        <w:t>שפורסמה</w:t>
      </w:r>
      <w:r w:rsidRPr="00F93EFB">
        <w:rPr>
          <w:szCs w:val="24"/>
          <w:rtl/>
        </w:rPr>
        <w:t xml:space="preserve"> </w:t>
      </w:r>
      <w:r w:rsidRPr="00F93EFB">
        <w:rPr>
          <w:rFonts w:hint="eastAsia"/>
          <w:szCs w:val="24"/>
          <w:rtl/>
        </w:rPr>
        <w:t>ביום</w:t>
      </w:r>
      <w:r w:rsidRPr="00F93EFB">
        <w:rPr>
          <w:szCs w:val="24"/>
          <w:rtl/>
        </w:rPr>
        <w:t xml:space="preserve"> 13.4.2022 היינו:</w:t>
      </w:r>
    </w:p>
    <w:p w14:paraId="24996E14" w14:textId="7B417603" w:rsidR="00D34B45" w:rsidRPr="00F93EFB" w:rsidRDefault="00D34B45" w:rsidP="00F93EFB">
      <w:pPr>
        <w:pStyle w:val="a7"/>
        <w:numPr>
          <w:ilvl w:val="2"/>
          <w:numId w:val="2"/>
        </w:numPr>
        <w:tabs>
          <w:tab w:val="left" w:pos="206"/>
        </w:tabs>
        <w:spacing w:after="5" w:line="276" w:lineRule="auto"/>
        <w:ind w:right="-13"/>
        <w:rPr>
          <w:szCs w:val="24"/>
        </w:rPr>
      </w:pPr>
      <w:r w:rsidRPr="00F93EFB">
        <w:rPr>
          <w:szCs w:val="24"/>
          <w:rtl/>
        </w:rPr>
        <w:t xml:space="preserve">סכום הגמול לדירקטור שאינו עומד בתנאי הכשירות בהתאם לתקנה 3(2) לתקנות </w:t>
      </w:r>
      <w:proofErr w:type="spellStart"/>
      <w:r w:rsidRPr="00F93EFB">
        <w:rPr>
          <w:szCs w:val="24"/>
          <w:rtl/>
        </w:rPr>
        <w:t>קופ"ג</w:t>
      </w:r>
      <w:proofErr w:type="spellEnd"/>
      <w:r w:rsidRPr="00F93EFB">
        <w:rPr>
          <w:szCs w:val="24"/>
          <w:rtl/>
        </w:rPr>
        <w:t xml:space="preserve"> ענפיות, לא יעלה על מחצית מהסכום הקבוע לדירקטור מטעם רשות החברות כאמור לעיל.</w:t>
      </w:r>
    </w:p>
    <w:p w14:paraId="3132F7D5" w14:textId="539F9EFE" w:rsidR="00D34B45" w:rsidRPr="00F93EFB" w:rsidRDefault="00D34B45" w:rsidP="00F93EFB">
      <w:pPr>
        <w:pStyle w:val="a7"/>
        <w:numPr>
          <w:ilvl w:val="2"/>
          <w:numId w:val="2"/>
        </w:numPr>
        <w:tabs>
          <w:tab w:val="left" w:pos="206"/>
        </w:tabs>
        <w:spacing w:after="5" w:line="276" w:lineRule="auto"/>
        <w:ind w:right="-13"/>
        <w:rPr>
          <w:szCs w:val="24"/>
        </w:rPr>
      </w:pPr>
      <w:r w:rsidRPr="00F93EFB">
        <w:rPr>
          <w:szCs w:val="24"/>
          <w:rtl/>
        </w:rPr>
        <w:t xml:space="preserve">סכום הגמול לדירקטור שמתקיים לגביו אך ורק התנאי הקבוע בסיפא של תקנה 3(2)(ו) לתקנות </w:t>
      </w:r>
      <w:proofErr w:type="spellStart"/>
      <w:r w:rsidRPr="00F93EFB">
        <w:rPr>
          <w:szCs w:val="24"/>
          <w:rtl/>
        </w:rPr>
        <w:t>קופ"ג</w:t>
      </w:r>
      <w:proofErr w:type="spellEnd"/>
      <w:r w:rsidRPr="00F93EFB">
        <w:rPr>
          <w:szCs w:val="24"/>
          <w:rtl/>
        </w:rPr>
        <w:t xml:space="preserve"> ענפיות (כהונה בתפקיד ציבורי בכיר במשך שלוש שנים לפחות) – לא יעלה על סכום הגמול </w:t>
      </w:r>
      <w:r w:rsidRPr="00F93EFB">
        <w:rPr>
          <w:rFonts w:hint="eastAsia"/>
          <w:szCs w:val="24"/>
          <w:rtl/>
        </w:rPr>
        <w:t>שישולם</w:t>
      </w:r>
      <w:r w:rsidRPr="00F93EFB">
        <w:rPr>
          <w:szCs w:val="24"/>
          <w:rtl/>
        </w:rPr>
        <w:t xml:space="preserve"> </w:t>
      </w:r>
      <w:r w:rsidRPr="00F93EFB">
        <w:rPr>
          <w:rFonts w:hint="eastAsia"/>
          <w:szCs w:val="24"/>
          <w:rtl/>
        </w:rPr>
        <w:t>לדירקטור</w:t>
      </w:r>
      <w:r w:rsidRPr="00F93EFB">
        <w:rPr>
          <w:szCs w:val="24"/>
          <w:rtl/>
        </w:rPr>
        <w:t xml:space="preserve"> </w:t>
      </w:r>
      <w:r w:rsidRPr="00F93EFB">
        <w:rPr>
          <w:rFonts w:hint="eastAsia"/>
          <w:szCs w:val="24"/>
          <w:rtl/>
        </w:rPr>
        <w:t>מטעם</w:t>
      </w:r>
      <w:r w:rsidRPr="00F93EFB">
        <w:rPr>
          <w:szCs w:val="24"/>
          <w:rtl/>
        </w:rPr>
        <w:t xml:space="preserve"> </w:t>
      </w:r>
      <w:r w:rsidRPr="00F93EFB">
        <w:rPr>
          <w:rFonts w:hint="eastAsia"/>
          <w:szCs w:val="24"/>
          <w:rtl/>
        </w:rPr>
        <w:t>רשות</w:t>
      </w:r>
      <w:r w:rsidRPr="00F93EFB">
        <w:rPr>
          <w:szCs w:val="24"/>
          <w:rtl/>
        </w:rPr>
        <w:t xml:space="preserve"> </w:t>
      </w:r>
      <w:r w:rsidRPr="00F93EFB">
        <w:rPr>
          <w:rFonts w:hint="eastAsia"/>
          <w:szCs w:val="24"/>
          <w:rtl/>
        </w:rPr>
        <w:t>החברות</w:t>
      </w:r>
      <w:r w:rsidRPr="00F93EFB">
        <w:rPr>
          <w:szCs w:val="24"/>
          <w:rtl/>
        </w:rPr>
        <w:t xml:space="preserve"> </w:t>
      </w:r>
      <w:r w:rsidRPr="00F93EFB">
        <w:rPr>
          <w:rFonts w:hint="eastAsia"/>
          <w:szCs w:val="24"/>
          <w:rtl/>
        </w:rPr>
        <w:t>כאמור</w:t>
      </w:r>
      <w:r w:rsidRPr="00F93EFB">
        <w:rPr>
          <w:szCs w:val="24"/>
          <w:rtl/>
        </w:rPr>
        <w:t xml:space="preserve"> </w:t>
      </w:r>
      <w:r w:rsidRPr="00F93EFB">
        <w:rPr>
          <w:rFonts w:hint="eastAsia"/>
          <w:szCs w:val="24"/>
          <w:rtl/>
        </w:rPr>
        <w:t>לעיל</w:t>
      </w:r>
    </w:p>
    <w:p w14:paraId="74073B71" w14:textId="77777777" w:rsidR="00D34B45" w:rsidRDefault="00D34B45" w:rsidP="00F93EFB">
      <w:pPr>
        <w:pStyle w:val="a7"/>
        <w:tabs>
          <w:tab w:val="left" w:pos="206"/>
        </w:tabs>
        <w:spacing w:after="5" w:line="247" w:lineRule="auto"/>
        <w:ind w:left="750" w:right="-13" w:firstLine="0"/>
      </w:pPr>
    </w:p>
    <w:p w14:paraId="670ABF5D" w14:textId="77777777" w:rsidR="0023089A" w:rsidRPr="00695533" w:rsidRDefault="0023089A" w:rsidP="0023089A">
      <w:pPr>
        <w:pStyle w:val="a7"/>
        <w:tabs>
          <w:tab w:val="left" w:pos="206"/>
        </w:tabs>
        <w:spacing w:after="5" w:line="247" w:lineRule="auto"/>
        <w:ind w:left="750" w:right="-13" w:firstLine="0"/>
      </w:pPr>
    </w:p>
    <w:p w14:paraId="6DA1A33F" w14:textId="77777777" w:rsidR="00223701" w:rsidRPr="00695533" w:rsidRDefault="00223701" w:rsidP="00815CAB">
      <w:pPr>
        <w:pStyle w:val="a7"/>
        <w:numPr>
          <w:ilvl w:val="1"/>
          <w:numId w:val="5"/>
        </w:numPr>
        <w:tabs>
          <w:tab w:val="left" w:pos="206"/>
        </w:tabs>
        <w:spacing w:after="0" w:line="240" w:lineRule="auto"/>
        <w:ind w:right="0"/>
        <w:rPr>
          <w:szCs w:val="24"/>
          <w:rtl/>
        </w:rPr>
      </w:pPr>
      <w:proofErr w:type="spellStart"/>
      <w:r w:rsidRPr="00695533">
        <w:rPr>
          <w:szCs w:val="24"/>
          <w:rtl/>
        </w:rPr>
        <w:t>נח"צ</w:t>
      </w:r>
      <w:proofErr w:type="spellEnd"/>
      <w:r w:rsidRPr="00695533">
        <w:rPr>
          <w:szCs w:val="24"/>
          <w:rtl/>
        </w:rPr>
        <w:t xml:space="preserve"> יהיה זכאי לתגמול </w:t>
      </w:r>
      <w:r w:rsidR="00590E81" w:rsidRPr="00695533">
        <w:rPr>
          <w:szCs w:val="24"/>
          <w:rtl/>
        </w:rPr>
        <w:t>זהה לזה אשר ישולם לדירקטור חיצוני בחברה</w:t>
      </w:r>
      <w:r w:rsidR="00295ED7" w:rsidRPr="00695533">
        <w:rPr>
          <w:szCs w:val="24"/>
          <w:rtl/>
        </w:rPr>
        <w:t xml:space="preserve"> </w:t>
      </w:r>
      <w:r w:rsidRPr="00695533">
        <w:rPr>
          <w:szCs w:val="24"/>
          <w:rtl/>
        </w:rPr>
        <w:t>.</w:t>
      </w:r>
    </w:p>
    <w:p w14:paraId="6913AF65" w14:textId="7F313E0B" w:rsidR="00732801" w:rsidRPr="00695533" w:rsidRDefault="00223701" w:rsidP="00695533">
      <w:pPr>
        <w:spacing w:after="5" w:line="247" w:lineRule="auto"/>
        <w:ind w:right="-13"/>
        <w:jc w:val="both"/>
        <w:rPr>
          <w:rFonts w:ascii="David" w:hAnsi="David" w:cs="David"/>
          <w:rtl/>
        </w:rPr>
      </w:pPr>
      <w:r w:rsidRPr="00695533">
        <w:rPr>
          <w:rFonts w:ascii="David" w:hAnsi="David" w:cs="David"/>
          <w:rtl/>
        </w:rPr>
        <w:t xml:space="preserve"> </w:t>
      </w:r>
    </w:p>
    <w:p w14:paraId="333CA5A3" w14:textId="6CD83E20" w:rsidR="00732801" w:rsidRPr="00695533" w:rsidRDefault="003877B4" w:rsidP="00BD54C5">
      <w:pPr>
        <w:pStyle w:val="a7"/>
        <w:numPr>
          <w:ilvl w:val="1"/>
          <w:numId w:val="5"/>
        </w:numPr>
        <w:tabs>
          <w:tab w:val="left" w:pos="206"/>
        </w:tabs>
        <w:spacing w:after="0" w:line="240" w:lineRule="auto"/>
        <w:ind w:right="0"/>
        <w:rPr>
          <w:szCs w:val="24"/>
          <w:rtl/>
        </w:rPr>
      </w:pPr>
      <w:r>
        <w:rPr>
          <w:rFonts w:hint="cs"/>
          <w:szCs w:val="24"/>
          <w:rtl/>
        </w:rPr>
        <w:t xml:space="preserve">כפוף להוראות תקנות הגמול, </w:t>
      </w:r>
      <w:r w:rsidR="00732801" w:rsidRPr="00695533">
        <w:rPr>
          <w:szCs w:val="24"/>
          <w:rtl/>
        </w:rPr>
        <w:t xml:space="preserve">דירקטוריון החברה רשאי לאשר ליו"ר דירקטוריון פעיל שכר ו/או תגמול חודשי. תגמול יו"ר דירקטוריון ייקבע </w:t>
      </w:r>
      <w:r w:rsidR="00F7731C" w:rsidRPr="00695533">
        <w:rPr>
          <w:szCs w:val="24"/>
          <w:rtl/>
        </w:rPr>
        <w:t xml:space="preserve">בהתאם להוראות הדין והכללים החלים בעניין </w:t>
      </w:r>
      <w:r w:rsidR="005D1F61" w:rsidRPr="00695533">
        <w:rPr>
          <w:szCs w:val="24"/>
          <w:rtl/>
        </w:rPr>
        <w:t xml:space="preserve">עפ"י הוראות </w:t>
      </w:r>
      <w:r w:rsidR="00F7731C" w:rsidRPr="00695533">
        <w:rPr>
          <w:szCs w:val="24"/>
          <w:rtl/>
        </w:rPr>
        <w:t>רשות החברות הממשלתיות</w:t>
      </w:r>
      <w:r w:rsidR="00852104" w:rsidRPr="00695533">
        <w:rPr>
          <w:szCs w:val="24"/>
          <w:rtl/>
        </w:rPr>
        <w:t xml:space="preserve">. </w:t>
      </w:r>
    </w:p>
    <w:p w14:paraId="38AB1FED" w14:textId="77777777" w:rsidR="00223701" w:rsidRPr="00695533" w:rsidRDefault="00223701" w:rsidP="00223701">
      <w:pPr>
        <w:pStyle w:val="a7"/>
        <w:tabs>
          <w:tab w:val="left" w:pos="206"/>
        </w:tabs>
        <w:spacing w:after="0" w:line="240" w:lineRule="auto"/>
        <w:ind w:right="0" w:firstLine="0"/>
        <w:rPr>
          <w:szCs w:val="24"/>
        </w:rPr>
      </w:pPr>
    </w:p>
    <w:p w14:paraId="17F4AC67" w14:textId="405C847D" w:rsidR="00732801" w:rsidRPr="00695533" w:rsidRDefault="00732801" w:rsidP="00BD54C5">
      <w:pPr>
        <w:pStyle w:val="a7"/>
        <w:numPr>
          <w:ilvl w:val="1"/>
          <w:numId w:val="5"/>
        </w:numPr>
        <w:tabs>
          <w:tab w:val="left" w:pos="206"/>
        </w:tabs>
        <w:spacing w:after="0" w:line="240" w:lineRule="auto"/>
        <w:ind w:right="0"/>
        <w:rPr>
          <w:szCs w:val="24"/>
          <w:rtl/>
        </w:rPr>
      </w:pPr>
      <w:r w:rsidRPr="00695533">
        <w:rPr>
          <w:szCs w:val="24"/>
          <w:rtl/>
        </w:rPr>
        <w:t xml:space="preserve">דירקטור, לרבות יו"ר הדירקטוריון, יקבל רק </w:t>
      </w:r>
      <w:r w:rsidR="003877B4">
        <w:rPr>
          <w:rFonts w:hint="cs"/>
          <w:szCs w:val="24"/>
          <w:rtl/>
        </w:rPr>
        <w:t>גמול קבוע (לפי ישיבה/שנתי)</w:t>
      </w:r>
      <w:r w:rsidRPr="00695533">
        <w:rPr>
          <w:szCs w:val="24"/>
          <w:rtl/>
        </w:rPr>
        <w:t xml:space="preserve"> בשל כהונתו </w:t>
      </w:r>
      <w:r w:rsidR="00BD54C5" w:rsidRPr="00695533">
        <w:rPr>
          <w:szCs w:val="24"/>
          <w:rtl/>
        </w:rPr>
        <w:t>בחברה</w:t>
      </w:r>
      <w:r w:rsidRPr="00695533">
        <w:rPr>
          <w:szCs w:val="24"/>
          <w:rtl/>
        </w:rPr>
        <w:t xml:space="preserve"> ולא יקבל רכיב משתנה בשל כהונתו זו.</w:t>
      </w:r>
    </w:p>
    <w:p w14:paraId="2086B513" w14:textId="77777777" w:rsidR="00223701" w:rsidRPr="00695533" w:rsidRDefault="00223701" w:rsidP="00223701">
      <w:pPr>
        <w:pStyle w:val="a7"/>
        <w:tabs>
          <w:tab w:val="left" w:pos="206"/>
        </w:tabs>
        <w:spacing w:after="0" w:line="240" w:lineRule="auto"/>
        <w:ind w:right="0" w:firstLine="0"/>
        <w:rPr>
          <w:szCs w:val="24"/>
        </w:rPr>
      </w:pPr>
    </w:p>
    <w:p w14:paraId="6ADD6295" w14:textId="795F26F0" w:rsidR="00223701" w:rsidRPr="00695533" w:rsidRDefault="003877B4" w:rsidP="00223701">
      <w:pPr>
        <w:pStyle w:val="a7"/>
        <w:numPr>
          <w:ilvl w:val="1"/>
          <w:numId w:val="5"/>
        </w:numPr>
        <w:tabs>
          <w:tab w:val="left" w:pos="206"/>
        </w:tabs>
        <w:spacing w:after="0" w:line="240" w:lineRule="auto"/>
        <w:ind w:right="0"/>
        <w:rPr>
          <w:szCs w:val="24"/>
        </w:rPr>
      </w:pPr>
      <w:r>
        <w:rPr>
          <w:rFonts w:hint="cs"/>
          <w:szCs w:val="24"/>
          <w:rtl/>
        </w:rPr>
        <w:t xml:space="preserve">כפוף להוראות תקנות הגמול, </w:t>
      </w:r>
      <w:r w:rsidR="00223701" w:rsidRPr="00695533">
        <w:rPr>
          <w:szCs w:val="24"/>
          <w:rtl/>
        </w:rPr>
        <w:t xml:space="preserve">החברה תהא רשאית לממן השתלמות מקצועית לדירקטורים, בתחום אחריותם או השתלמות מקצועית המיועדת לדירקטורים ונושאי משרה בחברה. </w:t>
      </w:r>
    </w:p>
    <w:p w14:paraId="4A1BCF50" w14:textId="77777777" w:rsidR="00223701" w:rsidRPr="00695533" w:rsidRDefault="00223701" w:rsidP="00223701">
      <w:pPr>
        <w:numPr>
          <w:ilvl w:val="0"/>
          <w:numId w:val="1"/>
        </w:numPr>
        <w:tabs>
          <w:tab w:val="left" w:pos="206"/>
        </w:tabs>
        <w:spacing w:before="240" w:after="120"/>
        <w:ind w:left="204" w:hanging="357"/>
        <w:jc w:val="both"/>
        <w:rPr>
          <w:rFonts w:ascii="David" w:hAnsi="David" w:cs="David"/>
          <w:b/>
          <w:bCs/>
          <w:sz w:val="28"/>
          <w:szCs w:val="28"/>
          <w:u w:val="single"/>
        </w:rPr>
      </w:pPr>
      <w:r w:rsidRPr="00695533">
        <w:rPr>
          <w:rFonts w:ascii="David" w:hAnsi="David" w:cs="David"/>
          <w:b/>
          <w:bCs/>
          <w:sz w:val="28"/>
          <w:szCs w:val="28"/>
          <w:u w:val="single"/>
          <w:rtl/>
        </w:rPr>
        <w:t>תגמול בעל תפקיד מרכזי בחברה</w:t>
      </w:r>
      <w:r w:rsidRPr="00695533">
        <w:rPr>
          <w:rFonts w:ascii="David" w:hAnsi="David" w:cs="David"/>
          <w:b/>
          <w:bCs/>
          <w:rtl/>
        </w:rPr>
        <w:t xml:space="preserve"> </w:t>
      </w:r>
    </w:p>
    <w:p w14:paraId="27ECFA2B" w14:textId="77777777" w:rsidR="00223701" w:rsidRPr="00695533" w:rsidRDefault="00223701" w:rsidP="00223701">
      <w:pPr>
        <w:pStyle w:val="a7"/>
        <w:numPr>
          <w:ilvl w:val="1"/>
          <w:numId w:val="6"/>
        </w:numPr>
        <w:tabs>
          <w:tab w:val="left" w:pos="206"/>
        </w:tabs>
        <w:spacing w:after="0" w:line="240" w:lineRule="auto"/>
        <w:ind w:right="0"/>
        <w:rPr>
          <w:szCs w:val="24"/>
        </w:rPr>
      </w:pPr>
      <w:r w:rsidRPr="00695533">
        <w:rPr>
          <w:b/>
          <w:bCs/>
          <w:szCs w:val="24"/>
          <w:u w:val="single" w:color="000000"/>
          <w:rtl/>
        </w:rPr>
        <w:t>אופן קביעת התגמול – עקרונות וכללים</w:t>
      </w:r>
      <w:r w:rsidRPr="00695533">
        <w:rPr>
          <w:b/>
          <w:bCs/>
          <w:szCs w:val="24"/>
          <w:rtl/>
        </w:rPr>
        <w:t xml:space="preserve"> </w:t>
      </w:r>
    </w:p>
    <w:p w14:paraId="49460FBF" w14:textId="77777777" w:rsidR="00223701" w:rsidRPr="00695533" w:rsidRDefault="00223701" w:rsidP="00223701">
      <w:pPr>
        <w:pStyle w:val="a7"/>
        <w:tabs>
          <w:tab w:val="left" w:pos="206"/>
        </w:tabs>
        <w:spacing w:after="0" w:line="240" w:lineRule="auto"/>
        <w:ind w:right="0" w:firstLine="0"/>
        <w:rPr>
          <w:szCs w:val="24"/>
        </w:rPr>
      </w:pPr>
    </w:p>
    <w:p w14:paraId="1FD70135" w14:textId="77777777" w:rsidR="00223701" w:rsidRPr="00695533" w:rsidRDefault="00223701" w:rsidP="00223701">
      <w:pPr>
        <w:spacing w:after="214"/>
        <w:ind w:left="487" w:right="-14"/>
        <w:jc w:val="both"/>
        <w:rPr>
          <w:rFonts w:ascii="David" w:hAnsi="David" w:cs="David"/>
        </w:rPr>
      </w:pPr>
      <w:r w:rsidRPr="00695533">
        <w:rPr>
          <w:rFonts w:ascii="David" w:hAnsi="David" w:cs="David"/>
          <w:rtl/>
        </w:rPr>
        <w:t xml:space="preserve">בעת בחינה ואישור של תנאי כהונה והעסקה של בעל תפקיד מרכזי תינתן התייחסות, בין היתר, לנושאים הבאים, ככל שהם רלבנטיים לו: </w:t>
      </w:r>
    </w:p>
    <w:p w14:paraId="16561A89" w14:textId="77777777" w:rsidR="00223701" w:rsidRPr="00695533" w:rsidRDefault="00223701" w:rsidP="00223701">
      <w:pPr>
        <w:pStyle w:val="a7"/>
        <w:numPr>
          <w:ilvl w:val="0"/>
          <w:numId w:val="7"/>
        </w:numPr>
        <w:tabs>
          <w:tab w:val="left" w:pos="206"/>
        </w:tabs>
        <w:spacing w:after="0" w:line="240" w:lineRule="auto"/>
        <w:ind w:right="0"/>
        <w:rPr>
          <w:szCs w:val="24"/>
        </w:rPr>
      </w:pPr>
      <w:r w:rsidRPr="00695533">
        <w:rPr>
          <w:szCs w:val="24"/>
          <w:rtl/>
        </w:rPr>
        <w:t xml:space="preserve">השכלתו, כישוריו, מומחיותו, ניסיונו המקצועי והישגיו. </w:t>
      </w:r>
    </w:p>
    <w:p w14:paraId="0044A9CE" w14:textId="77777777" w:rsidR="00223701" w:rsidRPr="00695533" w:rsidRDefault="00223701" w:rsidP="00223701">
      <w:pPr>
        <w:pStyle w:val="a7"/>
        <w:tabs>
          <w:tab w:val="left" w:pos="206"/>
        </w:tabs>
        <w:spacing w:after="0" w:line="240" w:lineRule="auto"/>
        <w:ind w:right="0" w:firstLine="0"/>
        <w:rPr>
          <w:szCs w:val="24"/>
        </w:rPr>
      </w:pPr>
    </w:p>
    <w:p w14:paraId="6532E181" w14:textId="77777777" w:rsidR="00223701" w:rsidRPr="00695533" w:rsidRDefault="00223701" w:rsidP="00223701">
      <w:pPr>
        <w:pStyle w:val="a7"/>
        <w:numPr>
          <w:ilvl w:val="0"/>
          <w:numId w:val="7"/>
        </w:numPr>
        <w:tabs>
          <w:tab w:val="left" w:pos="206"/>
        </w:tabs>
        <w:spacing w:after="0" w:line="240" w:lineRule="auto"/>
        <w:ind w:right="0"/>
        <w:rPr>
          <w:szCs w:val="24"/>
        </w:rPr>
      </w:pPr>
      <w:r w:rsidRPr="00695533">
        <w:rPr>
          <w:szCs w:val="24"/>
          <w:rtl/>
        </w:rPr>
        <w:t xml:space="preserve">תפקידו של בעל התפקיד המרכזי, תחומי אחריותו והסכמי שכר קודמים. </w:t>
      </w:r>
    </w:p>
    <w:p w14:paraId="6C020F5E" w14:textId="77777777" w:rsidR="00223701" w:rsidRPr="00695533" w:rsidRDefault="00223701" w:rsidP="00223701">
      <w:pPr>
        <w:pStyle w:val="a7"/>
        <w:tabs>
          <w:tab w:val="left" w:pos="206"/>
        </w:tabs>
        <w:spacing w:after="0" w:line="240" w:lineRule="auto"/>
        <w:ind w:right="0" w:firstLine="0"/>
        <w:rPr>
          <w:szCs w:val="24"/>
        </w:rPr>
      </w:pPr>
    </w:p>
    <w:p w14:paraId="26147AE4" w14:textId="77777777" w:rsidR="00223701" w:rsidRPr="00695533" w:rsidRDefault="00223701" w:rsidP="00223701">
      <w:pPr>
        <w:pStyle w:val="a7"/>
        <w:numPr>
          <w:ilvl w:val="0"/>
          <w:numId w:val="7"/>
        </w:numPr>
        <w:tabs>
          <w:tab w:val="left" w:pos="206"/>
        </w:tabs>
        <w:spacing w:after="0" w:line="240" w:lineRule="auto"/>
        <w:ind w:right="0"/>
        <w:rPr>
          <w:szCs w:val="24"/>
        </w:rPr>
      </w:pPr>
      <w:r w:rsidRPr="00695533">
        <w:rPr>
          <w:szCs w:val="24"/>
          <w:rtl/>
        </w:rPr>
        <w:t>היחס שבין עלות השכר של בעל תפקיד מרכזי לעלות השכר של שאר עובדי החברה ושל נותני שירותים חיצוניים לחברה, בפרט היחס לעלות השכר הממוצע ועלות השכר החציונית של שאר העובדים כאמור והשפעת הפערים על יחסי העבודה בחברה.</w:t>
      </w:r>
    </w:p>
    <w:p w14:paraId="7ABB4C79" w14:textId="77777777" w:rsidR="00223701" w:rsidRPr="00695533" w:rsidRDefault="00223701" w:rsidP="00223701">
      <w:pPr>
        <w:pStyle w:val="a7"/>
        <w:tabs>
          <w:tab w:val="left" w:pos="206"/>
        </w:tabs>
        <w:spacing w:after="0" w:line="240" w:lineRule="auto"/>
        <w:ind w:right="0" w:firstLine="0"/>
        <w:rPr>
          <w:szCs w:val="24"/>
        </w:rPr>
      </w:pPr>
    </w:p>
    <w:p w14:paraId="7E71C161" w14:textId="77777777" w:rsidR="00223701" w:rsidRPr="00695533" w:rsidRDefault="00223701" w:rsidP="00223701">
      <w:pPr>
        <w:pStyle w:val="a7"/>
        <w:numPr>
          <w:ilvl w:val="0"/>
          <w:numId w:val="7"/>
        </w:numPr>
        <w:tabs>
          <w:tab w:val="left" w:pos="206"/>
        </w:tabs>
        <w:spacing w:after="0" w:line="240" w:lineRule="auto"/>
        <w:ind w:right="0"/>
        <w:rPr>
          <w:szCs w:val="24"/>
        </w:rPr>
      </w:pPr>
      <w:r w:rsidRPr="00695533">
        <w:rPr>
          <w:szCs w:val="24"/>
          <w:rtl/>
        </w:rPr>
        <w:t xml:space="preserve">שוויו הכלכלי של התגמול הכולל, על כל מרכיביו, לרבות התייחסות לתוצאות העסקיות של החברה, וככל שהתגמול כולל יעדים ומדדים, בחינה של היעדים והמדדים, בין היתר, לאור מדיניות ניהול הסיכונים של החברה ועל מנת לוודא שאין במדיניות התגמול כדי ליצור תמריצים לנטילת סיכונים מעבר לכך. </w:t>
      </w:r>
    </w:p>
    <w:p w14:paraId="6D149727" w14:textId="77777777" w:rsidR="00223701" w:rsidRPr="00695533" w:rsidRDefault="00223701" w:rsidP="00223701">
      <w:pPr>
        <w:pStyle w:val="a7"/>
        <w:rPr>
          <w:szCs w:val="24"/>
        </w:rPr>
      </w:pPr>
    </w:p>
    <w:p w14:paraId="49F7A92E" w14:textId="77777777" w:rsidR="00223701" w:rsidRPr="00695533" w:rsidRDefault="00223701" w:rsidP="00223701">
      <w:pPr>
        <w:pStyle w:val="a7"/>
        <w:numPr>
          <w:ilvl w:val="1"/>
          <w:numId w:val="6"/>
        </w:numPr>
        <w:tabs>
          <w:tab w:val="left" w:pos="206"/>
        </w:tabs>
        <w:spacing w:after="0" w:line="240" w:lineRule="auto"/>
        <w:ind w:right="0"/>
        <w:rPr>
          <w:b/>
          <w:bCs/>
          <w:szCs w:val="24"/>
          <w:u w:val="single" w:color="000000"/>
        </w:rPr>
      </w:pPr>
      <w:r w:rsidRPr="00695533">
        <w:rPr>
          <w:b/>
          <w:bCs/>
          <w:szCs w:val="24"/>
          <w:u w:val="single" w:color="000000"/>
          <w:rtl/>
        </w:rPr>
        <w:t>עקרונות תגמול</w:t>
      </w:r>
    </w:p>
    <w:p w14:paraId="3D2226D9" w14:textId="77777777" w:rsidR="00223701" w:rsidRPr="00695533" w:rsidRDefault="00223701" w:rsidP="00223701">
      <w:pPr>
        <w:pStyle w:val="a7"/>
        <w:tabs>
          <w:tab w:val="left" w:pos="206"/>
        </w:tabs>
        <w:spacing w:after="0" w:line="240" w:lineRule="auto"/>
        <w:ind w:right="0" w:firstLine="0"/>
        <w:rPr>
          <w:b/>
          <w:bCs/>
          <w:szCs w:val="24"/>
          <w:u w:val="single" w:color="000000"/>
        </w:rPr>
      </w:pPr>
    </w:p>
    <w:p w14:paraId="62392434" w14:textId="3CE745A1" w:rsidR="00013FA3" w:rsidRPr="00695533" w:rsidRDefault="00590E81" w:rsidP="00223701">
      <w:pPr>
        <w:pStyle w:val="a7"/>
        <w:numPr>
          <w:ilvl w:val="0"/>
          <w:numId w:val="8"/>
        </w:numPr>
        <w:tabs>
          <w:tab w:val="left" w:pos="206"/>
        </w:tabs>
        <w:spacing w:after="0" w:line="240" w:lineRule="auto"/>
        <w:ind w:right="0"/>
        <w:rPr>
          <w:szCs w:val="24"/>
        </w:rPr>
      </w:pPr>
      <w:r w:rsidRPr="00695533">
        <w:rPr>
          <w:szCs w:val="24"/>
          <w:rtl/>
        </w:rPr>
        <w:t>כל העובדים בשכר בחברה יהיו זכאים לתוספ</w:t>
      </w:r>
      <w:r w:rsidR="003877B4">
        <w:rPr>
          <w:rFonts w:hint="cs"/>
          <w:szCs w:val="24"/>
          <w:rtl/>
        </w:rPr>
        <w:t>ו</w:t>
      </w:r>
      <w:r w:rsidRPr="00695533">
        <w:rPr>
          <w:szCs w:val="24"/>
          <w:rtl/>
        </w:rPr>
        <w:t xml:space="preserve">ת שכר </w:t>
      </w:r>
      <w:r w:rsidR="00013FA3" w:rsidRPr="00695533">
        <w:rPr>
          <w:szCs w:val="24"/>
          <w:rtl/>
        </w:rPr>
        <w:t>בהתאם ל</w:t>
      </w:r>
      <w:r w:rsidR="003877B4">
        <w:rPr>
          <w:rFonts w:hint="cs"/>
          <w:szCs w:val="24"/>
          <w:rtl/>
        </w:rPr>
        <w:t>הוראות הדין ובכלל זה ל</w:t>
      </w:r>
      <w:r w:rsidR="00013FA3" w:rsidRPr="00695533">
        <w:rPr>
          <w:szCs w:val="24"/>
          <w:rtl/>
        </w:rPr>
        <w:t xml:space="preserve">הוראות </w:t>
      </w:r>
      <w:r w:rsidR="003877B4">
        <w:rPr>
          <w:rFonts w:hint="cs"/>
          <w:szCs w:val="24"/>
          <w:rtl/>
        </w:rPr>
        <w:t xml:space="preserve">רשות </w:t>
      </w:r>
      <w:r w:rsidR="00013FA3" w:rsidRPr="00695533">
        <w:rPr>
          <w:szCs w:val="24"/>
          <w:rtl/>
        </w:rPr>
        <w:t xml:space="preserve">החברות הממשלתיות </w:t>
      </w:r>
      <w:r w:rsidR="003877B4">
        <w:rPr>
          <w:rFonts w:hint="cs"/>
          <w:szCs w:val="24"/>
          <w:rtl/>
        </w:rPr>
        <w:t>ו</w:t>
      </w:r>
      <w:r w:rsidRPr="00695533">
        <w:rPr>
          <w:szCs w:val="24"/>
          <w:rtl/>
        </w:rPr>
        <w:t xml:space="preserve">קבלת אישור מראש </w:t>
      </w:r>
      <w:r w:rsidR="00977944" w:rsidRPr="00695533">
        <w:rPr>
          <w:szCs w:val="24"/>
          <w:rtl/>
        </w:rPr>
        <w:t>מהממונה על השכר</w:t>
      </w:r>
      <w:r w:rsidR="003877B4">
        <w:rPr>
          <w:rFonts w:hint="cs"/>
          <w:szCs w:val="24"/>
          <w:rtl/>
        </w:rPr>
        <w:t>.</w:t>
      </w:r>
    </w:p>
    <w:p w14:paraId="452EC2C5" w14:textId="77777777" w:rsidR="00013FA3" w:rsidRPr="00695533" w:rsidRDefault="00013FA3" w:rsidP="00D819B6">
      <w:pPr>
        <w:pStyle w:val="a7"/>
        <w:tabs>
          <w:tab w:val="left" w:pos="206"/>
        </w:tabs>
        <w:spacing w:after="0" w:line="240" w:lineRule="auto"/>
        <w:ind w:right="0" w:firstLine="0"/>
        <w:rPr>
          <w:szCs w:val="24"/>
        </w:rPr>
      </w:pPr>
    </w:p>
    <w:p w14:paraId="2DF2DE47" w14:textId="77777777" w:rsidR="00223701" w:rsidRPr="00695533" w:rsidRDefault="00223701" w:rsidP="00223701">
      <w:pPr>
        <w:pStyle w:val="a7"/>
        <w:numPr>
          <w:ilvl w:val="0"/>
          <w:numId w:val="8"/>
        </w:numPr>
        <w:tabs>
          <w:tab w:val="left" w:pos="206"/>
        </w:tabs>
        <w:spacing w:after="0" w:line="240" w:lineRule="auto"/>
        <w:ind w:right="0"/>
        <w:rPr>
          <w:szCs w:val="24"/>
          <w:rtl/>
        </w:rPr>
      </w:pPr>
      <w:r w:rsidRPr="00695533">
        <w:rPr>
          <w:szCs w:val="24"/>
          <w:rtl/>
        </w:rPr>
        <w:t>בעל תפקיד מרכזי בחברה יקבל תגמול עבור ביצוע תפקידו בחברה אלא אם ויתר על קבלתו במפורש ובכתב.</w:t>
      </w:r>
    </w:p>
    <w:p w14:paraId="5946140C" w14:textId="77777777" w:rsidR="00223701" w:rsidRPr="00695533" w:rsidRDefault="00223701" w:rsidP="00223701">
      <w:pPr>
        <w:pStyle w:val="a7"/>
        <w:tabs>
          <w:tab w:val="left" w:pos="206"/>
        </w:tabs>
        <w:spacing w:after="0" w:line="240" w:lineRule="auto"/>
        <w:ind w:right="0" w:firstLine="0"/>
        <w:rPr>
          <w:szCs w:val="24"/>
        </w:rPr>
      </w:pPr>
      <w:r w:rsidRPr="00695533">
        <w:rPr>
          <w:szCs w:val="24"/>
          <w:rtl/>
        </w:rPr>
        <w:t xml:space="preserve"> </w:t>
      </w:r>
    </w:p>
    <w:p w14:paraId="707BEA6C" w14:textId="77777777" w:rsidR="00223701" w:rsidRPr="00695533" w:rsidRDefault="00223701" w:rsidP="00223701">
      <w:pPr>
        <w:pStyle w:val="a7"/>
        <w:numPr>
          <w:ilvl w:val="0"/>
          <w:numId w:val="8"/>
        </w:numPr>
        <w:tabs>
          <w:tab w:val="left" w:pos="206"/>
        </w:tabs>
        <w:spacing w:after="0" w:line="240" w:lineRule="auto"/>
        <w:ind w:right="0"/>
        <w:rPr>
          <w:szCs w:val="24"/>
          <w:rtl/>
        </w:rPr>
      </w:pPr>
      <w:r w:rsidRPr="00695533">
        <w:rPr>
          <w:szCs w:val="24"/>
          <w:rtl/>
        </w:rPr>
        <w:t xml:space="preserve">במסגרת התגמול של בעל תפקיד מרכזי לא ישולם כל תשלום הכולל רכיב משתנה הנגזר מביצועיו כבעל תפקיד בחברה. </w:t>
      </w:r>
    </w:p>
    <w:p w14:paraId="5CDD17CF" w14:textId="77777777" w:rsidR="00223701" w:rsidRPr="00695533" w:rsidRDefault="00223701" w:rsidP="00223701">
      <w:pPr>
        <w:bidi w:val="0"/>
        <w:ind w:right="38"/>
        <w:jc w:val="both"/>
        <w:rPr>
          <w:rFonts w:ascii="David" w:hAnsi="David" w:cs="David"/>
        </w:rPr>
      </w:pPr>
      <w:r w:rsidRPr="00695533">
        <w:rPr>
          <w:rFonts w:ascii="David" w:hAnsi="David" w:cs="David"/>
        </w:rPr>
        <w:t xml:space="preserve"> </w:t>
      </w:r>
    </w:p>
    <w:p w14:paraId="28E753AA" w14:textId="45692443" w:rsidR="00223701" w:rsidRPr="00695533" w:rsidRDefault="00223701" w:rsidP="00013FA3">
      <w:pPr>
        <w:pStyle w:val="a7"/>
        <w:numPr>
          <w:ilvl w:val="0"/>
          <w:numId w:val="8"/>
        </w:numPr>
        <w:tabs>
          <w:tab w:val="left" w:pos="206"/>
        </w:tabs>
        <w:spacing w:after="0" w:line="240" w:lineRule="auto"/>
        <w:ind w:right="0"/>
        <w:rPr>
          <w:szCs w:val="24"/>
        </w:rPr>
      </w:pPr>
      <w:r w:rsidRPr="00695533">
        <w:rPr>
          <w:szCs w:val="24"/>
          <w:rtl/>
        </w:rPr>
        <w:lastRenderedPageBreak/>
        <w:t>הדירקטוריון וועדת התגמול יהיו רשאים להחליט מעת לעת על מתן מענק חד-פעמי או בונוס שנתי, בין היתר, בגין מאמצים ניכרים מצד בעל התפקיד המרכזי, לרבות במסגרת ביצוע עסקה שאינה במהלך העסקים הרגיל של החברה או בגין התקשרות בהסכם העסקה עם החברה. מענק מיוחד כאמור, יינתן בנסיבות מיוחדות ושלא באופן רוחבי (להלן: "</w:t>
      </w:r>
      <w:r w:rsidRPr="00695533">
        <w:rPr>
          <w:b/>
          <w:bCs/>
          <w:szCs w:val="24"/>
          <w:rtl/>
        </w:rPr>
        <w:t>מענק מיוחד</w:t>
      </w:r>
      <w:r w:rsidRPr="00695533">
        <w:rPr>
          <w:szCs w:val="24"/>
          <w:rtl/>
        </w:rPr>
        <w:t>"). מענק מיוחד כאמור לא יעלה על 2 משכורות בסיס למענק.</w:t>
      </w:r>
      <w:r w:rsidR="00013FA3" w:rsidRPr="00695533" w:rsidDel="00013FA3">
        <w:rPr>
          <w:szCs w:val="24"/>
          <w:rtl/>
        </w:rPr>
        <w:t xml:space="preserve"> </w:t>
      </w:r>
      <w:r w:rsidR="005D1F61" w:rsidRPr="00695533">
        <w:rPr>
          <w:szCs w:val="24"/>
          <w:rtl/>
        </w:rPr>
        <w:t>בכל מקרה מענק כאמור לעובד יינתן כפוף לאישור הממונה על השכר.</w:t>
      </w:r>
    </w:p>
    <w:p w14:paraId="7AC1F754" w14:textId="6CE7C595" w:rsidR="00D819B6" w:rsidRDefault="00D819B6" w:rsidP="0023089A">
      <w:pPr>
        <w:tabs>
          <w:tab w:val="left" w:pos="206"/>
        </w:tabs>
        <w:rPr>
          <w:rFonts w:ascii="David" w:hAnsi="David" w:cs="David"/>
          <w:rtl/>
        </w:rPr>
      </w:pPr>
    </w:p>
    <w:p w14:paraId="1293E483" w14:textId="4EB220F9" w:rsidR="0070529B" w:rsidRDefault="0070529B" w:rsidP="0023089A">
      <w:pPr>
        <w:tabs>
          <w:tab w:val="left" w:pos="206"/>
        </w:tabs>
        <w:rPr>
          <w:rFonts w:ascii="David" w:hAnsi="David" w:cs="David"/>
          <w:rtl/>
        </w:rPr>
      </w:pPr>
    </w:p>
    <w:p w14:paraId="1B02AC08" w14:textId="47D74B70" w:rsidR="0070529B" w:rsidRPr="00695533" w:rsidRDefault="0070529B" w:rsidP="0070529B">
      <w:pPr>
        <w:numPr>
          <w:ilvl w:val="0"/>
          <w:numId w:val="1"/>
        </w:numPr>
        <w:tabs>
          <w:tab w:val="left" w:pos="206"/>
        </w:tabs>
        <w:spacing w:before="240" w:after="120"/>
        <w:ind w:left="204" w:hanging="357"/>
        <w:jc w:val="both"/>
        <w:rPr>
          <w:rFonts w:ascii="David" w:hAnsi="David" w:cs="David"/>
          <w:b/>
          <w:bCs/>
          <w:sz w:val="28"/>
          <w:szCs w:val="28"/>
          <w:u w:val="single"/>
        </w:rPr>
      </w:pPr>
      <w:r w:rsidRPr="00695533">
        <w:rPr>
          <w:rFonts w:ascii="David" w:hAnsi="David" w:cs="David"/>
          <w:b/>
          <w:bCs/>
          <w:sz w:val="28"/>
          <w:szCs w:val="28"/>
          <w:u w:val="single"/>
          <w:rtl/>
        </w:rPr>
        <w:t xml:space="preserve">תגמול </w:t>
      </w:r>
      <w:r>
        <w:rPr>
          <w:rFonts w:ascii="David" w:hAnsi="David" w:cs="David" w:hint="cs"/>
          <w:b/>
          <w:bCs/>
          <w:sz w:val="28"/>
          <w:szCs w:val="28"/>
          <w:u w:val="single"/>
          <w:rtl/>
        </w:rPr>
        <w:t>עובד מפתח</w:t>
      </w:r>
    </w:p>
    <w:p w14:paraId="22A7D0D1" w14:textId="3CC0C374" w:rsidR="0070529B" w:rsidRPr="00695533" w:rsidRDefault="0070529B" w:rsidP="002C3403">
      <w:pPr>
        <w:tabs>
          <w:tab w:val="left" w:pos="206"/>
        </w:tabs>
        <w:jc w:val="both"/>
        <w:rPr>
          <w:rFonts w:ascii="David" w:hAnsi="David" w:cs="David"/>
        </w:rPr>
      </w:pPr>
      <w:r>
        <w:rPr>
          <w:rFonts w:ascii="David" w:hAnsi="David" w:cs="David" w:hint="cs"/>
          <w:rtl/>
        </w:rPr>
        <w:t xml:space="preserve">ההוראות הנוגעות לעקרונות התגמול לבעל תפקיד מרכזי, יחולו בהתאמה גם על "עובד מפתח" בחברה. </w:t>
      </w:r>
      <w:r>
        <w:rPr>
          <w:rFonts w:ascii="David" w:hAnsi="David" w:cs="David"/>
          <w:rtl/>
        </w:rPr>
        <w:tab/>
      </w:r>
      <w:r>
        <w:rPr>
          <w:rFonts w:ascii="David" w:hAnsi="David" w:cs="David" w:hint="cs"/>
          <w:rtl/>
        </w:rPr>
        <w:t xml:space="preserve"> בנוסף רשאית החברה לאשר לעובד מפת</w:t>
      </w:r>
      <w:r w:rsidR="0044184A">
        <w:rPr>
          <w:rFonts w:ascii="David" w:hAnsi="David" w:cs="David" w:hint="cs"/>
          <w:rtl/>
        </w:rPr>
        <w:t>ח</w:t>
      </w:r>
      <w:r w:rsidR="00785534">
        <w:rPr>
          <w:rFonts w:ascii="David" w:hAnsi="David" w:cs="David" w:hint="cs"/>
          <w:rtl/>
        </w:rPr>
        <w:t xml:space="preserve"> </w:t>
      </w:r>
      <w:r>
        <w:rPr>
          <w:rFonts w:ascii="David" w:hAnsi="David" w:cs="David" w:hint="cs"/>
          <w:rtl/>
        </w:rPr>
        <w:t xml:space="preserve"> כאמור תגמולים משתנים, שאינם מותני ביצועים, במטרה לעודד את המשך העסקתו של אותו עובד, ובכלל זה מענק שמותנה אך ורק בהשלמת תקופת העסקה קבועה מראש ("מענק שימור") ומענק בעד שנת עבודתו הראשונה של בעל התפקיד (להלן: "מענק חתימה"). על מענק חתימה ומענק שימור יחולו ההוראות שהוגדרו בחוזר התגמול.</w:t>
      </w:r>
    </w:p>
    <w:p w14:paraId="6AA11439" w14:textId="77777777" w:rsidR="00223701" w:rsidRPr="00695533" w:rsidRDefault="00223701" w:rsidP="00223701">
      <w:pPr>
        <w:numPr>
          <w:ilvl w:val="0"/>
          <w:numId w:val="1"/>
        </w:numPr>
        <w:tabs>
          <w:tab w:val="left" w:pos="206"/>
        </w:tabs>
        <w:spacing w:before="240" w:after="120"/>
        <w:ind w:left="204" w:hanging="357"/>
        <w:jc w:val="both"/>
        <w:rPr>
          <w:rFonts w:ascii="David" w:hAnsi="David" w:cs="David"/>
          <w:b/>
          <w:bCs/>
          <w:sz w:val="28"/>
          <w:szCs w:val="28"/>
          <w:u w:val="single"/>
        </w:rPr>
      </w:pPr>
      <w:r w:rsidRPr="00695533">
        <w:rPr>
          <w:rFonts w:ascii="David" w:hAnsi="David" w:cs="David"/>
          <w:b/>
          <w:bCs/>
          <w:sz w:val="28"/>
          <w:szCs w:val="28"/>
          <w:u w:val="single"/>
          <w:rtl/>
        </w:rPr>
        <w:t>תגמול נושאי משרה במערך ההשקעות</w:t>
      </w:r>
    </w:p>
    <w:p w14:paraId="4091B296" w14:textId="77777777" w:rsidR="00DF45B2" w:rsidRPr="00695533" w:rsidRDefault="00DF45B2" w:rsidP="00DF45B2">
      <w:pPr>
        <w:pStyle w:val="a7"/>
        <w:numPr>
          <w:ilvl w:val="0"/>
          <w:numId w:val="23"/>
        </w:numPr>
        <w:tabs>
          <w:tab w:val="left" w:pos="206"/>
        </w:tabs>
        <w:spacing w:after="0" w:line="240" w:lineRule="auto"/>
        <w:ind w:right="0"/>
        <w:rPr>
          <w:vanish/>
          <w:szCs w:val="24"/>
          <w:rtl/>
        </w:rPr>
      </w:pPr>
    </w:p>
    <w:p w14:paraId="307D0334" w14:textId="77777777" w:rsidR="00DF45B2" w:rsidRPr="00695533" w:rsidRDefault="00DF45B2" w:rsidP="00DF45B2">
      <w:pPr>
        <w:pStyle w:val="a7"/>
        <w:numPr>
          <w:ilvl w:val="0"/>
          <w:numId w:val="23"/>
        </w:numPr>
        <w:tabs>
          <w:tab w:val="left" w:pos="206"/>
        </w:tabs>
        <w:spacing w:after="0" w:line="240" w:lineRule="auto"/>
        <w:ind w:right="0"/>
        <w:rPr>
          <w:vanish/>
          <w:szCs w:val="24"/>
          <w:rtl/>
        </w:rPr>
      </w:pPr>
    </w:p>
    <w:p w14:paraId="46F0AC25" w14:textId="77777777" w:rsidR="00223701" w:rsidRPr="00695533" w:rsidRDefault="00223701" w:rsidP="00223701">
      <w:pPr>
        <w:pStyle w:val="a7"/>
        <w:spacing w:after="0" w:line="240" w:lineRule="auto"/>
        <w:ind w:right="0" w:firstLine="0"/>
        <w:rPr>
          <w:szCs w:val="24"/>
        </w:rPr>
      </w:pPr>
    </w:p>
    <w:p w14:paraId="1A08E182" w14:textId="77777777" w:rsidR="00223701" w:rsidRPr="002C3403" w:rsidRDefault="00590E81" w:rsidP="002C3403">
      <w:pPr>
        <w:tabs>
          <w:tab w:val="left" w:pos="206"/>
        </w:tabs>
        <w:rPr>
          <w:rFonts w:ascii="David" w:hAnsi="David" w:cs="David"/>
          <w:rtl/>
        </w:rPr>
      </w:pPr>
      <w:r w:rsidRPr="002C3403">
        <w:rPr>
          <w:rFonts w:ascii="David" w:hAnsi="David" w:cs="David"/>
          <w:rtl/>
        </w:rPr>
        <w:t xml:space="preserve">מאחר </w:t>
      </w:r>
      <w:r w:rsidR="00223701" w:rsidRPr="002C3403">
        <w:rPr>
          <w:rFonts w:ascii="David" w:hAnsi="David" w:cs="David"/>
          <w:rtl/>
        </w:rPr>
        <w:t xml:space="preserve">שניהול ההשקעות נעשה באמצעות חברה הנותנת שירותי ניהול השקעות במיקור חוץ יקבל מנהל ההשקעות </w:t>
      </w:r>
      <w:r w:rsidRPr="002C3403">
        <w:rPr>
          <w:rFonts w:ascii="David" w:hAnsi="David" w:cs="David"/>
          <w:rtl/>
        </w:rPr>
        <w:t xml:space="preserve">החיצוני </w:t>
      </w:r>
      <w:r w:rsidR="00223701" w:rsidRPr="002C3403">
        <w:rPr>
          <w:rFonts w:ascii="David" w:hAnsi="David" w:cs="David"/>
          <w:rtl/>
        </w:rPr>
        <w:t xml:space="preserve">תגמול שינבע אך ורק מהיקף הנכסים המנוהל על ידו (ובנוסף עמלות </w:t>
      </w:r>
      <w:proofErr w:type="spellStart"/>
      <w:r w:rsidR="00223701" w:rsidRPr="002C3403">
        <w:rPr>
          <w:rFonts w:ascii="David" w:hAnsi="David" w:cs="David"/>
          <w:rtl/>
        </w:rPr>
        <w:t>וכיוצ"ב</w:t>
      </w:r>
      <w:proofErr w:type="spellEnd"/>
      <w:r w:rsidR="00223701" w:rsidRPr="002C3403">
        <w:rPr>
          <w:rFonts w:ascii="David" w:hAnsi="David" w:cs="David"/>
          <w:rtl/>
        </w:rPr>
        <w:t>). החברה תוודא בנוסף (באמצעות מכתב נוחות) כי עובדי מנהל ההשקעות החיצוני העוסקים בניהול נכסי הקופה לא יקבלו תגמול, תמורה או הטבה כלשהי הנגזרת מתשואות הקופה או מהגידול בהיקף הנכסים של הקופה ולא יקבלו כל תשלום רכיב משתנה הנגזר מביצועיהם.</w:t>
      </w:r>
    </w:p>
    <w:p w14:paraId="61BFF870" w14:textId="77777777" w:rsidR="00223701" w:rsidRPr="00695533" w:rsidRDefault="00223701" w:rsidP="00223701">
      <w:pPr>
        <w:numPr>
          <w:ilvl w:val="0"/>
          <w:numId w:val="1"/>
        </w:numPr>
        <w:tabs>
          <w:tab w:val="left" w:pos="206"/>
        </w:tabs>
        <w:spacing w:before="240" w:after="120"/>
        <w:ind w:left="204" w:hanging="357"/>
        <w:jc w:val="both"/>
        <w:rPr>
          <w:rFonts w:ascii="David" w:hAnsi="David" w:cs="David"/>
          <w:b/>
          <w:bCs/>
          <w:sz w:val="28"/>
          <w:szCs w:val="28"/>
          <w:u w:val="single"/>
          <w:rtl/>
        </w:rPr>
      </w:pPr>
      <w:r w:rsidRPr="00695533">
        <w:rPr>
          <w:rFonts w:ascii="David" w:hAnsi="David" w:cs="David"/>
          <w:b/>
          <w:bCs/>
          <w:sz w:val="28"/>
          <w:szCs w:val="28"/>
          <w:u w:val="single"/>
          <w:rtl/>
        </w:rPr>
        <w:t xml:space="preserve">תגמול בעלי תפקידים העוסקים בפונקציות בקרה </w:t>
      </w:r>
    </w:p>
    <w:p w14:paraId="1CAAD414" w14:textId="77777777" w:rsidR="00DF45B2" w:rsidRPr="00695533" w:rsidRDefault="00DF45B2" w:rsidP="00DF45B2">
      <w:pPr>
        <w:pStyle w:val="a7"/>
        <w:numPr>
          <w:ilvl w:val="0"/>
          <w:numId w:val="23"/>
        </w:numPr>
        <w:tabs>
          <w:tab w:val="left" w:pos="206"/>
        </w:tabs>
        <w:spacing w:after="0" w:line="240" w:lineRule="auto"/>
        <w:ind w:right="0"/>
        <w:rPr>
          <w:vanish/>
          <w:szCs w:val="24"/>
          <w:rtl/>
        </w:rPr>
      </w:pPr>
    </w:p>
    <w:p w14:paraId="78F3931E" w14:textId="54483323" w:rsidR="002C3403" w:rsidRPr="002C3403" w:rsidRDefault="00223701" w:rsidP="002C3403">
      <w:pPr>
        <w:pStyle w:val="a7"/>
        <w:numPr>
          <w:ilvl w:val="1"/>
          <w:numId w:val="27"/>
        </w:numPr>
        <w:tabs>
          <w:tab w:val="left" w:pos="206"/>
        </w:tabs>
        <w:spacing w:after="0"/>
        <w:rPr>
          <w:szCs w:val="24"/>
          <w:rtl/>
        </w:rPr>
      </w:pPr>
      <w:r w:rsidRPr="002C3403">
        <w:rPr>
          <w:szCs w:val="24"/>
          <w:rtl/>
        </w:rPr>
        <w:t xml:space="preserve"> בעל תפקיד בפונקציית בקרה לא יקבל כל תגמול הכולל רכיב משתנה הנגזר מביצועיו</w:t>
      </w:r>
      <w:r w:rsidR="00F859A2" w:rsidRPr="002C3403">
        <w:rPr>
          <w:szCs w:val="24"/>
          <w:rtl/>
        </w:rPr>
        <w:t>.</w:t>
      </w:r>
    </w:p>
    <w:p w14:paraId="3D282D61" w14:textId="0B96FEAF" w:rsidR="00223701" w:rsidRPr="002C3403" w:rsidRDefault="00223701" w:rsidP="002C3403">
      <w:pPr>
        <w:pStyle w:val="a7"/>
        <w:numPr>
          <w:ilvl w:val="1"/>
          <w:numId w:val="27"/>
        </w:numPr>
        <w:spacing w:after="0"/>
        <w:rPr>
          <w:szCs w:val="24"/>
        </w:rPr>
      </w:pPr>
      <w:r w:rsidRPr="002C3403">
        <w:rPr>
          <w:szCs w:val="24"/>
          <w:rtl/>
        </w:rPr>
        <w:t xml:space="preserve">החברה רשאית לממן השתלמות מקצועית, בתחום אחריותו או השתלמות מקצועית המיועדת לבעלי תפקידים אלו. </w:t>
      </w:r>
    </w:p>
    <w:p w14:paraId="4961C8BD" w14:textId="77777777" w:rsidR="00223701" w:rsidRPr="00695533" w:rsidRDefault="00223701" w:rsidP="00223701">
      <w:pPr>
        <w:numPr>
          <w:ilvl w:val="0"/>
          <w:numId w:val="1"/>
        </w:numPr>
        <w:tabs>
          <w:tab w:val="left" w:pos="206"/>
        </w:tabs>
        <w:spacing w:before="240" w:after="120"/>
        <w:ind w:left="204" w:hanging="357"/>
        <w:jc w:val="both"/>
        <w:rPr>
          <w:rFonts w:ascii="David" w:hAnsi="David" w:cs="David"/>
          <w:b/>
          <w:bCs/>
          <w:sz w:val="28"/>
          <w:szCs w:val="28"/>
          <w:u w:val="single"/>
          <w:rtl/>
        </w:rPr>
      </w:pPr>
      <w:r w:rsidRPr="00695533">
        <w:rPr>
          <w:rFonts w:ascii="David" w:hAnsi="David" w:cs="David"/>
          <w:b/>
          <w:bCs/>
          <w:sz w:val="28"/>
          <w:szCs w:val="28"/>
          <w:u w:val="single"/>
          <w:rtl/>
        </w:rPr>
        <w:t xml:space="preserve">תגמול בעלי תפקידים העוסקים בשיווק, במכירה ובתיווך מול לקוחות </w:t>
      </w:r>
    </w:p>
    <w:p w14:paraId="475EE715" w14:textId="77777777" w:rsidR="00DF45B2" w:rsidRPr="00695533" w:rsidRDefault="00DF45B2" w:rsidP="002C3403">
      <w:pPr>
        <w:pStyle w:val="a7"/>
        <w:numPr>
          <w:ilvl w:val="0"/>
          <w:numId w:val="27"/>
        </w:numPr>
        <w:tabs>
          <w:tab w:val="left" w:pos="206"/>
        </w:tabs>
        <w:spacing w:after="0" w:line="240" w:lineRule="auto"/>
        <w:ind w:right="0"/>
        <w:rPr>
          <w:rFonts w:eastAsiaTheme="minorEastAsia"/>
          <w:vanish/>
          <w:color w:val="auto"/>
          <w:szCs w:val="24"/>
          <w:rtl/>
        </w:rPr>
      </w:pPr>
    </w:p>
    <w:p w14:paraId="1ED3E41A" w14:textId="77777777" w:rsidR="00223701" w:rsidRPr="00695533" w:rsidRDefault="00223701" w:rsidP="002C3403">
      <w:pPr>
        <w:pStyle w:val="a7"/>
        <w:numPr>
          <w:ilvl w:val="1"/>
          <w:numId w:val="27"/>
        </w:numPr>
        <w:tabs>
          <w:tab w:val="left" w:pos="206"/>
        </w:tabs>
        <w:spacing w:after="0" w:line="240" w:lineRule="auto"/>
        <w:ind w:right="0"/>
        <w:rPr>
          <w:szCs w:val="24"/>
          <w:rtl/>
        </w:rPr>
      </w:pPr>
      <w:r w:rsidRPr="00695533">
        <w:rPr>
          <w:rFonts w:eastAsiaTheme="minorEastAsia"/>
          <w:color w:val="auto"/>
          <w:szCs w:val="24"/>
          <w:rtl/>
        </w:rPr>
        <w:t>לבעל תפקיד העוסק בתחום השיווק ניתן</w:t>
      </w:r>
      <w:r w:rsidRPr="00695533">
        <w:rPr>
          <w:rFonts w:eastAsiaTheme="minorEastAsia"/>
          <w:color w:val="auto"/>
          <w:szCs w:val="24"/>
        </w:rPr>
        <w:t xml:space="preserve"> </w:t>
      </w:r>
      <w:r w:rsidRPr="00695533">
        <w:rPr>
          <w:rFonts w:eastAsiaTheme="minorEastAsia"/>
          <w:color w:val="auto"/>
          <w:szCs w:val="24"/>
          <w:rtl/>
        </w:rPr>
        <w:t>לשלם</w:t>
      </w:r>
      <w:r w:rsidRPr="00695533">
        <w:rPr>
          <w:rFonts w:eastAsiaTheme="minorEastAsia"/>
          <w:color w:val="auto"/>
          <w:szCs w:val="24"/>
        </w:rPr>
        <w:t xml:space="preserve"> </w:t>
      </w:r>
      <w:r w:rsidRPr="00695533">
        <w:rPr>
          <w:rFonts w:eastAsiaTheme="minorEastAsia"/>
          <w:color w:val="auto"/>
          <w:szCs w:val="24"/>
          <w:rtl/>
        </w:rPr>
        <w:t>תגמול</w:t>
      </w:r>
      <w:r w:rsidRPr="00695533">
        <w:rPr>
          <w:rFonts w:eastAsiaTheme="minorEastAsia"/>
          <w:color w:val="auto"/>
          <w:szCs w:val="24"/>
        </w:rPr>
        <w:t xml:space="preserve"> </w:t>
      </w:r>
      <w:r w:rsidRPr="00695533">
        <w:rPr>
          <w:rFonts w:eastAsiaTheme="minorEastAsia"/>
          <w:color w:val="auto"/>
          <w:szCs w:val="24"/>
          <w:rtl/>
        </w:rPr>
        <w:t>משתנה</w:t>
      </w:r>
      <w:r w:rsidRPr="00695533">
        <w:rPr>
          <w:rFonts w:eastAsiaTheme="minorEastAsia"/>
          <w:color w:val="auto"/>
          <w:szCs w:val="24"/>
        </w:rPr>
        <w:t xml:space="preserve">, </w:t>
      </w:r>
      <w:r w:rsidRPr="00695533">
        <w:rPr>
          <w:rFonts w:eastAsiaTheme="minorEastAsia"/>
          <w:color w:val="auto"/>
          <w:szCs w:val="24"/>
          <w:rtl/>
        </w:rPr>
        <w:t>הנגזר</w:t>
      </w:r>
      <w:r w:rsidRPr="00695533">
        <w:rPr>
          <w:rFonts w:eastAsiaTheme="minorEastAsia"/>
          <w:color w:val="auto"/>
          <w:szCs w:val="24"/>
        </w:rPr>
        <w:t xml:space="preserve"> </w:t>
      </w:r>
      <w:r w:rsidRPr="00695533">
        <w:rPr>
          <w:rFonts w:eastAsiaTheme="minorEastAsia"/>
          <w:color w:val="auto"/>
          <w:szCs w:val="24"/>
          <w:rtl/>
        </w:rPr>
        <w:t>מביצועיו</w:t>
      </w:r>
      <w:r w:rsidRPr="00695533">
        <w:rPr>
          <w:rFonts w:eastAsiaTheme="minorEastAsia"/>
          <w:color w:val="auto"/>
          <w:szCs w:val="24"/>
        </w:rPr>
        <w:t xml:space="preserve"> </w:t>
      </w:r>
      <w:r w:rsidRPr="00695533">
        <w:rPr>
          <w:rFonts w:eastAsiaTheme="minorEastAsia"/>
          <w:color w:val="auto"/>
          <w:szCs w:val="24"/>
          <w:rtl/>
        </w:rPr>
        <w:t>בגיוס עמיתים חדשים ובשימור עמיתים אשר ביקשו להעביר את כספם מהקופה</w:t>
      </w:r>
      <w:r w:rsidRPr="00695533">
        <w:rPr>
          <w:rFonts w:eastAsiaTheme="minorEastAsia"/>
          <w:color w:val="auto"/>
          <w:szCs w:val="24"/>
        </w:rPr>
        <w:t xml:space="preserve"> </w:t>
      </w:r>
      <w:r w:rsidRPr="00695533">
        <w:rPr>
          <w:rFonts w:eastAsiaTheme="minorEastAsia"/>
          <w:color w:val="auto"/>
          <w:szCs w:val="24"/>
          <w:rtl/>
        </w:rPr>
        <w:t>ובלבד</w:t>
      </w:r>
      <w:r w:rsidRPr="00695533">
        <w:rPr>
          <w:rFonts w:eastAsiaTheme="minorEastAsia"/>
          <w:color w:val="auto"/>
          <w:szCs w:val="24"/>
        </w:rPr>
        <w:t xml:space="preserve"> </w:t>
      </w:r>
      <w:r w:rsidRPr="00695533">
        <w:rPr>
          <w:rFonts w:eastAsiaTheme="minorEastAsia"/>
          <w:color w:val="auto"/>
          <w:szCs w:val="24"/>
          <w:rtl/>
        </w:rPr>
        <w:t>שמדובר</w:t>
      </w:r>
      <w:r w:rsidRPr="00695533">
        <w:rPr>
          <w:rFonts w:eastAsiaTheme="minorEastAsia"/>
          <w:color w:val="auto"/>
          <w:szCs w:val="24"/>
        </w:rPr>
        <w:t xml:space="preserve"> </w:t>
      </w:r>
      <w:r w:rsidRPr="00695533">
        <w:rPr>
          <w:rFonts w:eastAsiaTheme="minorEastAsia"/>
          <w:color w:val="auto"/>
          <w:szCs w:val="24"/>
          <w:rtl/>
        </w:rPr>
        <w:t>בתשלום</w:t>
      </w:r>
      <w:r w:rsidRPr="00695533">
        <w:rPr>
          <w:rFonts w:eastAsiaTheme="minorEastAsia"/>
          <w:color w:val="auto"/>
          <w:szCs w:val="24"/>
        </w:rPr>
        <w:t xml:space="preserve"> </w:t>
      </w:r>
      <w:r w:rsidRPr="00695533">
        <w:rPr>
          <w:rFonts w:eastAsiaTheme="minorEastAsia"/>
          <w:color w:val="auto"/>
          <w:szCs w:val="24"/>
          <w:rtl/>
        </w:rPr>
        <w:t>חד</w:t>
      </w:r>
      <w:r w:rsidRPr="00695533">
        <w:rPr>
          <w:rFonts w:eastAsiaTheme="minorEastAsia"/>
          <w:color w:val="auto"/>
          <w:szCs w:val="24"/>
        </w:rPr>
        <w:t>-</w:t>
      </w:r>
      <w:r w:rsidRPr="00695533">
        <w:rPr>
          <w:rFonts w:eastAsiaTheme="minorEastAsia"/>
          <w:color w:val="auto"/>
          <w:szCs w:val="24"/>
          <w:rtl/>
        </w:rPr>
        <w:t>פעמי שאינו</w:t>
      </w:r>
      <w:r w:rsidRPr="00695533">
        <w:rPr>
          <w:rFonts w:eastAsiaTheme="minorEastAsia"/>
          <w:color w:val="auto"/>
          <w:szCs w:val="24"/>
        </w:rPr>
        <w:t xml:space="preserve"> </w:t>
      </w:r>
      <w:r w:rsidRPr="00695533">
        <w:rPr>
          <w:rFonts w:eastAsiaTheme="minorEastAsia"/>
          <w:color w:val="auto"/>
          <w:szCs w:val="24"/>
          <w:rtl/>
        </w:rPr>
        <w:t>מתמשך ובתנאי שהתגמול</w:t>
      </w:r>
      <w:r w:rsidRPr="00695533">
        <w:rPr>
          <w:rFonts w:eastAsiaTheme="minorEastAsia"/>
          <w:color w:val="auto"/>
          <w:szCs w:val="24"/>
        </w:rPr>
        <w:t xml:space="preserve"> </w:t>
      </w:r>
      <w:r w:rsidRPr="00695533">
        <w:rPr>
          <w:rFonts w:eastAsiaTheme="minorEastAsia"/>
          <w:color w:val="auto"/>
          <w:szCs w:val="24"/>
          <w:rtl/>
        </w:rPr>
        <w:t>המשתנה</w:t>
      </w:r>
      <w:r w:rsidRPr="00695533">
        <w:rPr>
          <w:rFonts w:eastAsiaTheme="minorEastAsia"/>
          <w:color w:val="auto"/>
          <w:szCs w:val="24"/>
        </w:rPr>
        <w:t xml:space="preserve"> </w:t>
      </w:r>
      <w:r w:rsidRPr="00695533">
        <w:rPr>
          <w:rFonts w:eastAsiaTheme="minorEastAsia"/>
          <w:color w:val="auto"/>
          <w:szCs w:val="24"/>
          <w:rtl/>
        </w:rPr>
        <w:t>בממוצע</w:t>
      </w:r>
      <w:r w:rsidRPr="00695533">
        <w:rPr>
          <w:rFonts w:eastAsiaTheme="minorEastAsia"/>
          <w:color w:val="auto"/>
          <w:szCs w:val="24"/>
        </w:rPr>
        <w:t xml:space="preserve"> </w:t>
      </w:r>
      <w:r w:rsidRPr="00695533">
        <w:rPr>
          <w:rFonts w:eastAsiaTheme="minorEastAsia"/>
          <w:color w:val="auto"/>
          <w:szCs w:val="24"/>
          <w:rtl/>
        </w:rPr>
        <w:t>לשנה</w:t>
      </w:r>
      <w:r w:rsidRPr="00695533">
        <w:rPr>
          <w:rFonts w:eastAsiaTheme="minorEastAsia"/>
          <w:color w:val="auto"/>
          <w:szCs w:val="24"/>
        </w:rPr>
        <w:t xml:space="preserve"> </w:t>
      </w:r>
      <w:r w:rsidRPr="00695533">
        <w:rPr>
          <w:rFonts w:eastAsiaTheme="minorEastAsia"/>
          <w:color w:val="auto"/>
          <w:szCs w:val="24"/>
          <w:rtl/>
        </w:rPr>
        <w:t>לא</w:t>
      </w:r>
      <w:r w:rsidRPr="00695533">
        <w:rPr>
          <w:rFonts w:eastAsiaTheme="minorEastAsia"/>
          <w:color w:val="auto"/>
          <w:szCs w:val="24"/>
        </w:rPr>
        <w:t xml:space="preserve"> </w:t>
      </w:r>
      <w:r w:rsidRPr="00695533">
        <w:rPr>
          <w:rFonts w:eastAsiaTheme="minorEastAsia"/>
          <w:color w:val="auto"/>
          <w:szCs w:val="24"/>
          <w:rtl/>
        </w:rPr>
        <w:t>יעלה</w:t>
      </w:r>
      <w:r w:rsidRPr="00695533">
        <w:rPr>
          <w:rFonts w:eastAsiaTheme="minorEastAsia"/>
          <w:color w:val="auto"/>
          <w:szCs w:val="24"/>
        </w:rPr>
        <w:t xml:space="preserve"> </w:t>
      </w:r>
      <w:r w:rsidRPr="00695533">
        <w:rPr>
          <w:rFonts w:eastAsiaTheme="minorEastAsia"/>
          <w:color w:val="auto"/>
          <w:szCs w:val="24"/>
          <w:rtl/>
        </w:rPr>
        <w:t>על</w:t>
      </w:r>
      <w:r w:rsidRPr="00695533">
        <w:rPr>
          <w:rFonts w:eastAsiaTheme="minorEastAsia"/>
          <w:color w:val="auto"/>
          <w:szCs w:val="24"/>
        </w:rPr>
        <w:t xml:space="preserve">50% </w:t>
      </w:r>
      <w:r w:rsidR="00E53E52" w:rsidRPr="00695533">
        <w:rPr>
          <w:rFonts w:eastAsiaTheme="minorEastAsia"/>
          <w:color w:val="auto"/>
          <w:szCs w:val="24"/>
          <w:rtl/>
        </w:rPr>
        <w:t xml:space="preserve"> </w:t>
      </w:r>
      <w:r w:rsidRPr="00695533">
        <w:rPr>
          <w:rFonts w:eastAsiaTheme="minorEastAsia"/>
          <w:color w:val="auto"/>
          <w:szCs w:val="24"/>
          <w:rtl/>
        </w:rPr>
        <w:t>מהתגמול</w:t>
      </w:r>
      <w:r w:rsidRPr="00695533">
        <w:rPr>
          <w:rFonts w:eastAsiaTheme="minorEastAsia"/>
          <w:color w:val="auto"/>
          <w:szCs w:val="24"/>
        </w:rPr>
        <w:t xml:space="preserve"> </w:t>
      </w:r>
      <w:r w:rsidRPr="00695533">
        <w:rPr>
          <w:rFonts w:eastAsiaTheme="minorEastAsia"/>
          <w:color w:val="auto"/>
          <w:szCs w:val="24"/>
          <w:rtl/>
        </w:rPr>
        <w:t>הקבוע</w:t>
      </w:r>
      <w:r w:rsidRPr="00695533">
        <w:rPr>
          <w:rFonts w:eastAsiaTheme="minorEastAsia"/>
          <w:color w:val="auto"/>
          <w:szCs w:val="24"/>
        </w:rPr>
        <w:t>.</w:t>
      </w:r>
    </w:p>
    <w:p w14:paraId="41E27A42" w14:textId="77777777" w:rsidR="00223701" w:rsidRPr="00695533" w:rsidRDefault="00223701" w:rsidP="00223701">
      <w:pPr>
        <w:pStyle w:val="a7"/>
        <w:spacing w:after="0" w:line="240" w:lineRule="auto"/>
        <w:ind w:right="1094" w:hanging="11"/>
        <w:rPr>
          <w:szCs w:val="24"/>
        </w:rPr>
      </w:pPr>
    </w:p>
    <w:p w14:paraId="28791463" w14:textId="77777777" w:rsidR="00223701" w:rsidRPr="00695533" w:rsidRDefault="00223701" w:rsidP="002C3403">
      <w:pPr>
        <w:pStyle w:val="a7"/>
        <w:numPr>
          <w:ilvl w:val="1"/>
          <w:numId w:val="27"/>
        </w:numPr>
        <w:tabs>
          <w:tab w:val="left" w:pos="206"/>
        </w:tabs>
        <w:spacing w:after="0" w:line="240" w:lineRule="auto"/>
        <w:ind w:right="0"/>
        <w:rPr>
          <w:szCs w:val="24"/>
          <w:rtl/>
        </w:rPr>
      </w:pPr>
      <w:r w:rsidRPr="00695533">
        <w:rPr>
          <w:szCs w:val="24"/>
          <w:rtl/>
        </w:rPr>
        <w:t xml:space="preserve">החברה רשאית לממן השתלמות מקצועית, בתחום אחריותו או השתלמות מקצועית המיועדת לבעלי תפקידים אלו. </w:t>
      </w:r>
    </w:p>
    <w:p w14:paraId="480FEEB5" w14:textId="77777777" w:rsidR="00223701" w:rsidRPr="00695533" w:rsidRDefault="00223701" w:rsidP="00223701">
      <w:pPr>
        <w:numPr>
          <w:ilvl w:val="0"/>
          <w:numId w:val="1"/>
        </w:numPr>
        <w:tabs>
          <w:tab w:val="left" w:pos="206"/>
        </w:tabs>
        <w:spacing w:before="240" w:after="120"/>
        <w:ind w:left="204" w:hanging="357"/>
        <w:jc w:val="both"/>
        <w:rPr>
          <w:rFonts w:ascii="David" w:hAnsi="David" w:cs="David"/>
          <w:b/>
          <w:bCs/>
          <w:sz w:val="28"/>
          <w:szCs w:val="28"/>
          <w:u w:val="single"/>
        </w:rPr>
      </w:pPr>
      <w:r w:rsidRPr="00695533">
        <w:rPr>
          <w:rFonts w:ascii="David" w:hAnsi="David" w:cs="David"/>
          <w:b/>
          <w:bCs/>
          <w:sz w:val="28"/>
          <w:szCs w:val="28"/>
          <w:u w:val="single"/>
          <w:rtl/>
        </w:rPr>
        <w:t>תגמול לנושאי משרה נותני שירותי מיקור חוץ:</w:t>
      </w:r>
    </w:p>
    <w:p w14:paraId="2645804E" w14:textId="77777777" w:rsidR="00DF45B2" w:rsidRPr="00695533" w:rsidRDefault="00DF45B2" w:rsidP="002C3403">
      <w:pPr>
        <w:pStyle w:val="a7"/>
        <w:numPr>
          <w:ilvl w:val="0"/>
          <w:numId w:val="27"/>
        </w:numPr>
        <w:tabs>
          <w:tab w:val="left" w:pos="206"/>
        </w:tabs>
        <w:spacing w:after="0" w:line="240" w:lineRule="auto"/>
        <w:ind w:right="0"/>
        <w:rPr>
          <w:vanish/>
          <w:szCs w:val="24"/>
          <w:rtl/>
        </w:rPr>
      </w:pPr>
    </w:p>
    <w:p w14:paraId="5357EF0D" w14:textId="21CAFE53" w:rsidR="00223701" w:rsidRPr="00695533" w:rsidRDefault="00223701" w:rsidP="002C3403">
      <w:pPr>
        <w:pStyle w:val="a7"/>
        <w:numPr>
          <w:ilvl w:val="1"/>
          <w:numId w:val="27"/>
        </w:numPr>
        <w:tabs>
          <w:tab w:val="left" w:pos="206"/>
        </w:tabs>
        <w:spacing w:after="0" w:line="240" w:lineRule="auto"/>
        <w:ind w:right="0"/>
        <w:rPr>
          <w:szCs w:val="24"/>
          <w:rtl/>
        </w:rPr>
      </w:pPr>
      <w:r w:rsidRPr="00695533">
        <w:rPr>
          <w:szCs w:val="24"/>
          <w:rtl/>
        </w:rPr>
        <w:t>לכל נושאי המשרה נותני שירותי מיקור חוץ ישולם תגמול חודשי בתעריף קבוע בהתאם לנהוג בשוק לתשלום לתפקידים מסוג זה וזאת בגין השירותים השוטפים אשר הוסכם בהסכם ההתקשרות עמו כי עליו לתתם.</w:t>
      </w:r>
    </w:p>
    <w:p w14:paraId="6F7AA0D5" w14:textId="77777777" w:rsidR="00223701" w:rsidRPr="00695533" w:rsidRDefault="00223701" w:rsidP="00223701">
      <w:pPr>
        <w:pStyle w:val="a7"/>
        <w:tabs>
          <w:tab w:val="left" w:pos="206"/>
        </w:tabs>
        <w:spacing w:after="0" w:line="240" w:lineRule="auto"/>
        <w:ind w:left="722" w:right="0" w:firstLine="0"/>
        <w:rPr>
          <w:szCs w:val="24"/>
        </w:rPr>
      </w:pPr>
    </w:p>
    <w:p w14:paraId="4E7906C9" w14:textId="77777777" w:rsidR="00223701" w:rsidRPr="00695533" w:rsidRDefault="00223701" w:rsidP="002C3403">
      <w:pPr>
        <w:pStyle w:val="a7"/>
        <w:numPr>
          <w:ilvl w:val="1"/>
          <w:numId w:val="27"/>
        </w:numPr>
        <w:tabs>
          <w:tab w:val="left" w:pos="206"/>
        </w:tabs>
        <w:spacing w:after="0" w:line="240" w:lineRule="auto"/>
        <w:ind w:right="0"/>
        <w:rPr>
          <w:szCs w:val="24"/>
          <w:rtl/>
        </w:rPr>
      </w:pPr>
      <w:r w:rsidRPr="00695533">
        <w:rPr>
          <w:szCs w:val="24"/>
          <w:rtl/>
        </w:rPr>
        <w:t>במידה ותידרש עבודה נוספת החורגת מהשירותים אשר הוסכמו כי עליו לתתם במסגרת ההסכמית בין הצדדים ייקבע בין הצדדים תעריף מוסכם לאותה עבודה נוספת תוך שהחברה תשאף לכך, ככל שהדבר אפשרי, לשלם תעריף שעתי בגין השירותים לפי התעריף שיוסכם בין הצדדים באותו מועד.</w:t>
      </w:r>
    </w:p>
    <w:p w14:paraId="14062D28" w14:textId="77777777" w:rsidR="00223701" w:rsidRPr="00695533" w:rsidRDefault="00223701" w:rsidP="00223701">
      <w:pPr>
        <w:pStyle w:val="a7"/>
        <w:rPr>
          <w:szCs w:val="24"/>
        </w:rPr>
      </w:pPr>
    </w:p>
    <w:p w14:paraId="4BFF0CBB" w14:textId="02D7AB56" w:rsidR="00223701" w:rsidRPr="00695533" w:rsidRDefault="00223701" w:rsidP="002C3403">
      <w:pPr>
        <w:pStyle w:val="a7"/>
        <w:numPr>
          <w:ilvl w:val="1"/>
          <w:numId w:val="27"/>
        </w:numPr>
        <w:tabs>
          <w:tab w:val="left" w:pos="206"/>
        </w:tabs>
        <w:spacing w:after="0" w:line="240" w:lineRule="auto"/>
        <w:ind w:right="0"/>
        <w:rPr>
          <w:szCs w:val="24"/>
          <w:rtl/>
        </w:rPr>
      </w:pPr>
      <w:r w:rsidRPr="00695533">
        <w:rPr>
          <w:szCs w:val="24"/>
          <w:rtl/>
        </w:rPr>
        <w:t xml:space="preserve">נושאי משרה נותני שירותי חוץ כאמור לא יקבלו תגמול בעל רכיב משתנה אשר ייגזר </w:t>
      </w:r>
      <w:r w:rsidR="002C3403">
        <w:rPr>
          <w:rFonts w:hint="cs"/>
          <w:szCs w:val="24"/>
          <w:rtl/>
        </w:rPr>
        <w:t xml:space="preserve">   </w:t>
      </w:r>
      <w:r w:rsidRPr="00695533">
        <w:rPr>
          <w:szCs w:val="24"/>
          <w:rtl/>
        </w:rPr>
        <w:t>מתשואות הקופה או מדמי הניהול שלה.</w:t>
      </w:r>
    </w:p>
    <w:p w14:paraId="12983A6D" w14:textId="77777777" w:rsidR="00223701" w:rsidRPr="00695533" w:rsidRDefault="00223701" w:rsidP="00223701">
      <w:pPr>
        <w:numPr>
          <w:ilvl w:val="0"/>
          <w:numId w:val="1"/>
        </w:numPr>
        <w:tabs>
          <w:tab w:val="left" w:pos="206"/>
        </w:tabs>
        <w:spacing w:before="240" w:after="120"/>
        <w:ind w:left="204" w:hanging="357"/>
        <w:jc w:val="both"/>
        <w:rPr>
          <w:rFonts w:ascii="David" w:hAnsi="David" w:cs="David"/>
          <w:b/>
          <w:bCs/>
          <w:sz w:val="28"/>
          <w:szCs w:val="28"/>
          <w:u w:val="single"/>
          <w:rtl/>
        </w:rPr>
      </w:pPr>
      <w:r w:rsidRPr="00695533">
        <w:rPr>
          <w:rFonts w:ascii="David" w:hAnsi="David" w:cs="David"/>
          <w:b/>
          <w:bCs/>
          <w:sz w:val="28"/>
          <w:szCs w:val="28"/>
          <w:u w:val="single"/>
          <w:rtl/>
        </w:rPr>
        <w:lastRenderedPageBreak/>
        <w:t xml:space="preserve">נלווים והטבות נוספות לעובדים (לרבות נושאי משרה) </w:t>
      </w:r>
    </w:p>
    <w:p w14:paraId="75062EED" w14:textId="77777777" w:rsidR="00177658" w:rsidRPr="00695533" w:rsidRDefault="00177658" w:rsidP="002C3403">
      <w:pPr>
        <w:pStyle w:val="a7"/>
        <w:numPr>
          <w:ilvl w:val="0"/>
          <w:numId w:val="27"/>
        </w:numPr>
        <w:tabs>
          <w:tab w:val="left" w:pos="206"/>
        </w:tabs>
        <w:spacing w:after="0" w:line="240" w:lineRule="auto"/>
        <w:ind w:right="0"/>
        <w:rPr>
          <w:vanish/>
          <w:szCs w:val="24"/>
          <w:rtl/>
        </w:rPr>
      </w:pPr>
    </w:p>
    <w:p w14:paraId="0943374E" w14:textId="7EF6BBE9" w:rsidR="00223701" w:rsidRPr="00695533" w:rsidRDefault="00223701" w:rsidP="002C3403">
      <w:pPr>
        <w:pStyle w:val="a7"/>
        <w:numPr>
          <w:ilvl w:val="1"/>
          <w:numId w:val="27"/>
        </w:numPr>
        <w:tabs>
          <w:tab w:val="left" w:pos="206"/>
        </w:tabs>
        <w:spacing w:after="0" w:line="240" w:lineRule="auto"/>
        <w:ind w:right="0" w:hanging="494"/>
        <w:rPr>
          <w:szCs w:val="24"/>
        </w:rPr>
      </w:pPr>
      <w:r w:rsidRPr="00695533">
        <w:rPr>
          <w:szCs w:val="24"/>
          <w:rtl/>
        </w:rPr>
        <w:t>ביחס לעובדים שאינם בעלי תפקיד מרכזי, החברה תשלם לעובד את כל התנאים הנלווים הקבועים בהוראות הדין, ובנוסף, תהיה רשאית, באישור מנכ"ל החברה</w:t>
      </w:r>
      <w:r w:rsidR="00590E81" w:rsidRPr="00695533">
        <w:rPr>
          <w:szCs w:val="24"/>
          <w:rtl/>
        </w:rPr>
        <w:t xml:space="preserve"> וב</w:t>
      </w:r>
      <w:r w:rsidR="008C6A37" w:rsidRPr="00695533">
        <w:rPr>
          <w:szCs w:val="24"/>
          <w:rtl/>
        </w:rPr>
        <w:t xml:space="preserve">התאם להוראות </w:t>
      </w:r>
      <w:r w:rsidR="00590E81" w:rsidRPr="00695533">
        <w:rPr>
          <w:szCs w:val="24"/>
          <w:rtl/>
        </w:rPr>
        <w:t xml:space="preserve"> רשות החברות</w:t>
      </w:r>
      <w:r w:rsidR="005D1F61" w:rsidRPr="00695533">
        <w:rPr>
          <w:szCs w:val="24"/>
          <w:rtl/>
        </w:rPr>
        <w:t>/ הממונה על השכר</w:t>
      </w:r>
      <w:r w:rsidRPr="00695533">
        <w:rPr>
          <w:szCs w:val="24"/>
          <w:rtl/>
        </w:rPr>
        <w:t xml:space="preserve"> </w:t>
      </w:r>
      <w:r w:rsidR="008C6A37" w:rsidRPr="00695533">
        <w:rPr>
          <w:szCs w:val="24"/>
          <w:rtl/>
        </w:rPr>
        <w:t xml:space="preserve">כפי שיהיו מעת לעת וככל שיהיו </w:t>
      </w:r>
      <w:r w:rsidRPr="00695533">
        <w:rPr>
          <w:szCs w:val="24"/>
          <w:rtl/>
        </w:rPr>
        <w:t xml:space="preserve">לאשר תנאים נוספים, שאינם חורגים מעקרונות מדיניות תגמול זו. </w:t>
      </w:r>
    </w:p>
    <w:p w14:paraId="72AD72E4" w14:textId="77777777" w:rsidR="00223701" w:rsidRPr="00695533" w:rsidRDefault="00223701" w:rsidP="00223701">
      <w:pPr>
        <w:pStyle w:val="a7"/>
        <w:tabs>
          <w:tab w:val="left" w:pos="206"/>
        </w:tabs>
        <w:spacing w:after="0" w:line="240" w:lineRule="auto"/>
        <w:ind w:right="0" w:firstLine="0"/>
        <w:rPr>
          <w:szCs w:val="24"/>
        </w:rPr>
      </w:pPr>
    </w:p>
    <w:p w14:paraId="031D8094" w14:textId="557A6AD8" w:rsidR="00223701" w:rsidRPr="00695533" w:rsidRDefault="00223701" w:rsidP="002C3403">
      <w:pPr>
        <w:pStyle w:val="a7"/>
        <w:numPr>
          <w:ilvl w:val="1"/>
          <w:numId w:val="27"/>
        </w:numPr>
        <w:tabs>
          <w:tab w:val="left" w:pos="206"/>
        </w:tabs>
        <w:spacing w:after="0" w:line="240" w:lineRule="auto"/>
        <w:ind w:right="0"/>
        <w:rPr>
          <w:szCs w:val="24"/>
        </w:rPr>
      </w:pPr>
      <w:r w:rsidRPr="00695533">
        <w:rPr>
          <w:szCs w:val="24"/>
          <w:rtl/>
        </w:rPr>
        <w:t xml:space="preserve">החברה תהיה רשאית, </w:t>
      </w:r>
      <w:r w:rsidR="008C6A37" w:rsidRPr="00695533">
        <w:rPr>
          <w:szCs w:val="24"/>
          <w:rtl/>
        </w:rPr>
        <w:t>בהתאם להוראות רשות</w:t>
      </w:r>
      <w:r w:rsidR="00590E81" w:rsidRPr="00695533">
        <w:rPr>
          <w:szCs w:val="24"/>
          <w:rtl/>
        </w:rPr>
        <w:t xml:space="preserve"> החברות</w:t>
      </w:r>
      <w:r w:rsidR="005D1F61" w:rsidRPr="00695533">
        <w:rPr>
          <w:szCs w:val="24"/>
          <w:rtl/>
        </w:rPr>
        <w:t>/ הממונה על השכר</w:t>
      </w:r>
      <w:r w:rsidR="008C6A37" w:rsidRPr="00695533">
        <w:rPr>
          <w:szCs w:val="24"/>
          <w:rtl/>
        </w:rPr>
        <w:t xml:space="preserve"> כפי שיהיו מעת לעת</w:t>
      </w:r>
      <w:r w:rsidR="00590E81" w:rsidRPr="00695533">
        <w:rPr>
          <w:szCs w:val="24"/>
          <w:rtl/>
        </w:rPr>
        <w:t xml:space="preserve">, </w:t>
      </w:r>
      <w:r w:rsidRPr="00695533">
        <w:rPr>
          <w:szCs w:val="24"/>
          <w:rtl/>
        </w:rPr>
        <w:t>ובמקרים הנדרשים על פי דין חייבת, לאשר לבעלי תפקיד מרכזי שיש עמו יחסי עובד מעביד ו/או לעובדים, לפי העניין תנאים נלווים נוספים לשכר הבסיס, בין היתר, כמפורט להלן:</w:t>
      </w:r>
    </w:p>
    <w:p w14:paraId="1DDA6909" w14:textId="77777777" w:rsidR="00223701" w:rsidRPr="00695533" w:rsidRDefault="00223701" w:rsidP="00223701">
      <w:pPr>
        <w:pStyle w:val="a7"/>
        <w:tabs>
          <w:tab w:val="left" w:pos="206"/>
        </w:tabs>
        <w:spacing w:after="0" w:line="240" w:lineRule="auto"/>
        <w:ind w:right="0" w:firstLine="0"/>
        <w:rPr>
          <w:szCs w:val="24"/>
        </w:rPr>
      </w:pPr>
      <w:r w:rsidRPr="00695533">
        <w:rPr>
          <w:szCs w:val="24"/>
          <w:rtl/>
        </w:rPr>
        <w:t xml:space="preserve"> </w:t>
      </w:r>
    </w:p>
    <w:p w14:paraId="5EFC4BBF" w14:textId="77777777" w:rsidR="00223701" w:rsidRPr="00695533" w:rsidRDefault="00223701" w:rsidP="008C6A37">
      <w:pPr>
        <w:pStyle w:val="a7"/>
        <w:tabs>
          <w:tab w:val="left" w:pos="206"/>
        </w:tabs>
        <w:spacing w:after="0" w:line="240" w:lineRule="auto"/>
        <w:ind w:right="0" w:firstLine="0"/>
        <w:rPr>
          <w:szCs w:val="24"/>
        </w:rPr>
      </w:pPr>
      <w:r w:rsidRPr="00695533">
        <w:rPr>
          <w:szCs w:val="24"/>
          <w:u w:val="single" w:color="000000"/>
          <w:rtl/>
        </w:rPr>
        <w:t>הפרשות פנסיוניות וביטוח אובדן כושר עבודה</w:t>
      </w:r>
      <w:r w:rsidRPr="00695533">
        <w:rPr>
          <w:szCs w:val="24"/>
          <w:rtl/>
        </w:rPr>
        <w:t xml:space="preserve"> –החברה תפריש לעובד למוצר פנסיוני שייבחר על ידי העובד ועל פי הוראות הדין. ביצוע הפרשות החברה לביטוח פנסיוני יותנה בקיזוז מתאים של חלק העובד בהפרשות מתוך שכרו של העובד. בנוסף, החברה רשאית לבטח את העובד בביטוח אובדן כושר עבודה כאשר שיעור ההפרשה לא יעלה על </w:t>
      </w:r>
      <w:r w:rsidR="005121BB" w:rsidRPr="00695533">
        <w:rPr>
          <w:szCs w:val="24"/>
          <w:rtl/>
        </w:rPr>
        <w:t xml:space="preserve">2.5% </w:t>
      </w:r>
      <w:r w:rsidRPr="00695533">
        <w:rPr>
          <w:szCs w:val="24"/>
          <w:rtl/>
        </w:rPr>
        <w:t>משכר הבסיס של העובד. החברה רשאית להתיר לעובד להמיר את סכומי ההפרשה בגין תגמולים שמעבר לתקרת השכר המוכרת לצרכי מס על פי הדין, לתשלום שכר, באופן שעלות העסקתו לחברה לא תגדל.</w:t>
      </w:r>
      <w:r w:rsidRPr="00695533">
        <w:rPr>
          <w:rFonts w:eastAsia="Arial"/>
          <w:szCs w:val="24"/>
          <w:rtl/>
        </w:rPr>
        <w:t xml:space="preserve"> </w:t>
      </w:r>
    </w:p>
    <w:p w14:paraId="0FF2C830" w14:textId="77777777" w:rsidR="00223701" w:rsidRPr="00695533" w:rsidRDefault="00223701" w:rsidP="00223701">
      <w:pPr>
        <w:tabs>
          <w:tab w:val="left" w:pos="206"/>
        </w:tabs>
        <w:jc w:val="both"/>
        <w:rPr>
          <w:rFonts w:ascii="David" w:hAnsi="David" w:cs="David"/>
          <w:rtl/>
        </w:rPr>
      </w:pPr>
    </w:p>
    <w:p w14:paraId="6FF69F31" w14:textId="77777777" w:rsidR="00223701" w:rsidRPr="00695533" w:rsidRDefault="00223701" w:rsidP="00223701">
      <w:pPr>
        <w:pStyle w:val="a7"/>
        <w:tabs>
          <w:tab w:val="left" w:pos="206"/>
        </w:tabs>
        <w:spacing w:after="0" w:line="240" w:lineRule="auto"/>
        <w:ind w:right="0" w:firstLine="0"/>
        <w:rPr>
          <w:szCs w:val="24"/>
        </w:rPr>
      </w:pPr>
      <w:r w:rsidRPr="00695533">
        <w:rPr>
          <w:szCs w:val="24"/>
          <w:u w:val="single" w:color="000000"/>
          <w:rtl/>
        </w:rPr>
        <w:t>פיצויי פיטורין</w:t>
      </w:r>
      <w:r w:rsidRPr="00695533">
        <w:rPr>
          <w:szCs w:val="24"/>
          <w:rtl/>
        </w:rPr>
        <w:t xml:space="preserve"> – במקרה של סיום יחסי עובד - מעביד תהיה החברה רשאית לשלם לעובד עד %</w:t>
      </w:r>
      <w:r w:rsidRPr="00695533">
        <w:rPr>
          <w:szCs w:val="24"/>
        </w:rPr>
        <w:t>100</w:t>
      </w:r>
      <w:r w:rsidRPr="00695533">
        <w:rPr>
          <w:szCs w:val="24"/>
          <w:rtl/>
        </w:rPr>
        <w:t xml:space="preserve"> פיצויי פיטורין ובכל מקרה לא פחות מהקבוע בהוראות הדין.</w:t>
      </w:r>
    </w:p>
    <w:p w14:paraId="63461F1F" w14:textId="77777777" w:rsidR="00223701" w:rsidRPr="00695533" w:rsidRDefault="00223701" w:rsidP="00223701">
      <w:pPr>
        <w:pStyle w:val="a7"/>
        <w:tabs>
          <w:tab w:val="left" w:pos="206"/>
        </w:tabs>
        <w:spacing w:after="0" w:line="240" w:lineRule="auto"/>
        <w:ind w:right="0" w:firstLine="0"/>
        <w:rPr>
          <w:szCs w:val="24"/>
          <w:rtl/>
        </w:rPr>
      </w:pPr>
    </w:p>
    <w:p w14:paraId="1424E013" w14:textId="77777777" w:rsidR="00223701" w:rsidRPr="00695533" w:rsidRDefault="00223701" w:rsidP="00223701">
      <w:pPr>
        <w:tabs>
          <w:tab w:val="left" w:pos="206"/>
        </w:tabs>
        <w:ind w:left="720"/>
        <w:jc w:val="both"/>
        <w:rPr>
          <w:rFonts w:ascii="David" w:hAnsi="David" w:cs="David"/>
        </w:rPr>
      </w:pPr>
      <w:r w:rsidRPr="00695533">
        <w:rPr>
          <w:rFonts w:ascii="David" w:hAnsi="David" w:cs="David"/>
          <w:u w:val="single" w:color="000000"/>
          <w:rtl/>
        </w:rPr>
        <w:t>קרן השתלמות</w:t>
      </w:r>
      <w:r w:rsidRPr="00695533">
        <w:rPr>
          <w:rFonts w:ascii="David" w:hAnsi="David" w:cs="David"/>
          <w:rtl/>
        </w:rPr>
        <w:t xml:space="preserve"> – החברה רשאית להפריש מדי חודש עד %7.5 משכר הבסיס של העובד ולנכות עד %2.5 אחוז נוספים משכר הבסיס ותעביר סכומים אלו לקרן השתלמות על פי בחירתו של העובד על בסיס מלוא שכר הבסיס. העובד יהיה רשאי להמיר את סכומי ההפרשה שמעבר לתקרת השכר המוכרת לצרכי מס על פי הדין, לתשלום שכר, באופן שעלות העסקתו לחברה לא תגדל. </w:t>
      </w:r>
    </w:p>
    <w:p w14:paraId="65B4FD63" w14:textId="77777777" w:rsidR="00223701" w:rsidRPr="00695533" w:rsidRDefault="00223701" w:rsidP="00223701">
      <w:pPr>
        <w:tabs>
          <w:tab w:val="left" w:pos="206"/>
        </w:tabs>
        <w:jc w:val="both"/>
        <w:rPr>
          <w:rFonts w:ascii="David" w:hAnsi="David" w:cs="David"/>
          <w:rtl/>
        </w:rPr>
      </w:pPr>
    </w:p>
    <w:p w14:paraId="6B69998D" w14:textId="16CA7261" w:rsidR="00223701" w:rsidRPr="00695533" w:rsidRDefault="00223701" w:rsidP="00223701">
      <w:pPr>
        <w:tabs>
          <w:tab w:val="left" w:pos="206"/>
        </w:tabs>
        <w:ind w:left="720"/>
        <w:jc w:val="both"/>
        <w:rPr>
          <w:rFonts w:ascii="David" w:hAnsi="David" w:cs="David"/>
        </w:rPr>
      </w:pPr>
      <w:r w:rsidRPr="00695533">
        <w:rPr>
          <w:rFonts w:ascii="David" w:hAnsi="David" w:cs="David"/>
          <w:u w:val="single" w:color="000000"/>
          <w:rtl/>
        </w:rPr>
        <w:t xml:space="preserve">רכב </w:t>
      </w:r>
      <w:r w:rsidRPr="00695533">
        <w:rPr>
          <w:rFonts w:ascii="David" w:hAnsi="David" w:cs="David"/>
          <w:rtl/>
        </w:rPr>
        <w:t xml:space="preserve">– החברה רשאית להעמיד לרשות העובדים ולשימושם רכב כמקובל בחברה, אשר ישמש, בין היתר, לצורך מילוי תפקידם. החברה תהיה רשאית לשאת בהוצאות הכרוכות בשימוש ובאחזקת הרכב והכל לפי הנהלים הנהוגים בחברה. החברה תהיה רשאית להעניק לעובד תשלום שווה ערך חלף האמור. </w:t>
      </w:r>
    </w:p>
    <w:p w14:paraId="4D34A737" w14:textId="77777777" w:rsidR="00223701" w:rsidRPr="00695533" w:rsidRDefault="00223701" w:rsidP="00223701">
      <w:pPr>
        <w:tabs>
          <w:tab w:val="left" w:pos="206"/>
        </w:tabs>
        <w:ind w:left="720"/>
        <w:jc w:val="both"/>
        <w:rPr>
          <w:rFonts w:ascii="David" w:hAnsi="David" w:cs="David"/>
          <w:rtl/>
        </w:rPr>
      </w:pPr>
    </w:p>
    <w:p w14:paraId="77FFBF85" w14:textId="77777777" w:rsidR="00223701" w:rsidRPr="00695533" w:rsidRDefault="00223701" w:rsidP="00223701">
      <w:pPr>
        <w:pStyle w:val="a7"/>
        <w:tabs>
          <w:tab w:val="left" w:pos="206"/>
        </w:tabs>
        <w:spacing w:after="0" w:line="240" w:lineRule="auto"/>
        <w:ind w:right="0" w:firstLine="0"/>
        <w:rPr>
          <w:szCs w:val="24"/>
        </w:rPr>
      </w:pPr>
      <w:r w:rsidRPr="00695533">
        <w:rPr>
          <w:szCs w:val="24"/>
          <w:u w:val="single" w:color="000000"/>
          <w:rtl/>
        </w:rPr>
        <w:t>תקשורת</w:t>
      </w:r>
      <w:r w:rsidRPr="00695533">
        <w:rPr>
          <w:szCs w:val="24"/>
          <w:rtl/>
        </w:rPr>
        <w:t xml:space="preserve"> – החברה רשאית להעמיד לרשות העובד טלפון נייד לשימושו האישי על פי בחירת החברה כמקובל בחברה (בגין מנכ"ל החברה ויו"ר הדירקטוריון תישא החברה בתוספת גילום מלא). כמו כן, החברה תהיה רשאית להעמיד לעובד אמצעי מיכון (מחשב נייד וכדומה) לצורכי עבודתו בהתאם לנהלי החברה.</w:t>
      </w:r>
    </w:p>
    <w:p w14:paraId="296349A7" w14:textId="77777777" w:rsidR="00223701" w:rsidRPr="00695533" w:rsidRDefault="00223701" w:rsidP="00223701">
      <w:pPr>
        <w:tabs>
          <w:tab w:val="left" w:pos="206"/>
        </w:tabs>
        <w:jc w:val="both"/>
        <w:rPr>
          <w:rFonts w:ascii="David" w:hAnsi="David" w:cs="David"/>
          <w:rtl/>
        </w:rPr>
      </w:pPr>
    </w:p>
    <w:p w14:paraId="610D5AB7" w14:textId="77777777" w:rsidR="00223701" w:rsidRPr="00695533" w:rsidRDefault="00223701" w:rsidP="00223701">
      <w:pPr>
        <w:pStyle w:val="a7"/>
        <w:tabs>
          <w:tab w:val="left" w:pos="206"/>
        </w:tabs>
        <w:spacing w:after="0" w:line="240" w:lineRule="auto"/>
        <w:ind w:right="0" w:firstLine="0"/>
        <w:rPr>
          <w:szCs w:val="24"/>
        </w:rPr>
      </w:pPr>
      <w:r w:rsidRPr="00695533">
        <w:rPr>
          <w:szCs w:val="24"/>
          <w:u w:val="single" w:color="000000"/>
          <w:rtl/>
        </w:rPr>
        <w:t>ארוחות / אש"ל</w:t>
      </w:r>
      <w:r w:rsidRPr="00695533">
        <w:rPr>
          <w:szCs w:val="24"/>
          <w:rtl/>
        </w:rPr>
        <w:t xml:space="preserve"> – החברה תהיה רשאית לאפשר לעובד לעשות שימוש בהסדר תשלום עבור ארוחות ואש"ל במהלך שעות העבודה וכן תהיה זכאית לאפשר החזר הוצאות, כפי שיקבע בנהלי החברה, מעת לעת.</w:t>
      </w:r>
    </w:p>
    <w:p w14:paraId="585E1085" w14:textId="77777777" w:rsidR="00223701" w:rsidRPr="00695533" w:rsidRDefault="00223701" w:rsidP="00223701">
      <w:pPr>
        <w:tabs>
          <w:tab w:val="left" w:pos="206"/>
        </w:tabs>
        <w:jc w:val="both"/>
        <w:rPr>
          <w:rFonts w:ascii="David" w:hAnsi="David" w:cs="David"/>
          <w:rtl/>
        </w:rPr>
      </w:pPr>
    </w:p>
    <w:p w14:paraId="2BACA9B1" w14:textId="77777777" w:rsidR="00223701" w:rsidRPr="00695533" w:rsidRDefault="00223701" w:rsidP="00223701">
      <w:pPr>
        <w:tabs>
          <w:tab w:val="left" w:pos="206"/>
        </w:tabs>
        <w:ind w:left="720"/>
        <w:jc w:val="both"/>
        <w:rPr>
          <w:rFonts w:ascii="David" w:hAnsi="David" w:cs="David"/>
        </w:rPr>
      </w:pPr>
      <w:r w:rsidRPr="00695533">
        <w:rPr>
          <w:rFonts w:ascii="David" w:hAnsi="David" w:cs="David"/>
          <w:u w:val="single" w:color="000000"/>
          <w:rtl/>
        </w:rPr>
        <w:t>חופשה שנתית</w:t>
      </w:r>
      <w:r w:rsidRPr="00695533">
        <w:rPr>
          <w:rFonts w:ascii="David" w:hAnsi="David" w:cs="David"/>
          <w:rtl/>
        </w:rPr>
        <w:t xml:space="preserve"> – החברה תהיה רשאית להעניק לעובד חופשה שנתית בהתאם להוראות הדין ו/או לפי הסדרים אחרים לפי שיקול דעתה.</w:t>
      </w:r>
    </w:p>
    <w:p w14:paraId="19F6A9F2" w14:textId="77777777" w:rsidR="00223701" w:rsidRPr="00695533" w:rsidRDefault="00223701" w:rsidP="00223701">
      <w:pPr>
        <w:tabs>
          <w:tab w:val="left" w:pos="206"/>
        </w:tabs>
        <w:ind w:left="720"/>
        <w:jc w:val="both"/>
        <w:rPr>
          <w:rFonts w:ascii="David" w:hAnsi="David" w:cs="David"/>
          <w:rtl/>
        </w:rPr>
      </w:pPr>
      <w:r w:rsidRPr="00695533">
        <w:rPr>
          <w:rFonts w:ascii="David" w:hAnsi="David" w:cs="David"/>
          <w:rtl/>
        </w:rPr>
        <w:t xml:space="preserve"> </w:t>
      </w:r>
    </w:p>
    <w:p w14:paraId="26E256B2" w14:textId="77777777" w:rsidR="00223701" w:rsidRPr="00695533" w:rsidRDefault="00223701" w:rsidP="00223701">
      <w:pPr>
        <w:pStyle w:val="a7"/>
        <w:tabs>
          <w:tab w:val="left" w:pos="206"/>
        </w:tabs>
        <w:spacing w:after="0" w:line="240" w:lineRule="auto"/>
        <w:ind w:right="0" w:firstLine="0"/>
        <w:rPr>
          <w:szCs w:val="24"/>
        </w:rPr>
      </w:pPr>
      <w:r w:rsidRPr="00695533">
        <w:rPr>
          <w:szCs w:val="24"/>
          <w:u w:val="single" w:color="000000"/>
          <w:rtl/>
        </w:rPr>
        <w:t>חופשת מחלה</w:t>
      </w:r>
      <w:r w:rsidRPr="00695533">
        <w:rPr>
          <w:szCs w:val="24"/>
          <w:rtl/>
        </w:rPr>
        <w:t xml:space="preserve"> – עובד יהיה זכאי להעדר מהעבודה בשל מחלה על פי הוראות חוק דמי מחלה. החברה תהיה רשאית לשלם לעובד תשלום מלא עבור ימים בהם נעדר מהעבודה עקב מחלה החל מיום ההיעדרות הראשון כפי שיקבע בנהלי החברה, מעת לעת. </w:t>
      </w:r>
    </w:p>
    <w:p w14:paraId="5424C3D4" w14:textId="77777777" w:rsidR="00223701" w:rsidRPr="00695533" w:rsidRDefault="00223701" w:rsidP="00223701">
      <w:pPr>
        <w:pStyle w:val="a7"/>
        <w:tabs>
          <w:tab w:val="left" w:pos="206"/>
        </w:tabs>
        <w:spacing w:after="0" w:line="240" w:lineRule="auto"/>
        <w:ind w:right="0" w:firstLine="0"/>
        <w:rPr>
          <w:szCs w:val="24"/>
          <w:rtl/>
        </w:rPr>
      </w:pPr>
    </w:p>
    <w:p w14:paraId="21797BB4" w14:textId="77777777" w:rsidR="00223701" w:rsidRPr="00695533" w:rsidRDefault="00223701" w:rsidP="00223701">
      <w:pPr>
        <w:pStyle w:val="a7"/>
        <w:tabs>
          <w:tab w:val="left" w:pos="206"/>
        </w:tabs>
        <w:spacing w:after="0" w:line="240" w:lineRule="auto"/>
        <w:ind w:right="0" w:firstLine="0"/>
        <w:rPr>
          <w:szCs w:val="24"/>
        </w:rPr>
      </w:pPr>
      <w:r w:rsidRPr="00695533">
        <w:rPr>
          <w:szCs w:val="24"/>
          <w:u w:val="single" w:color="000000"/>
          <w:rtl/>
        </w:rPr>
        <w:t>דמי הבראה</w:t>
      </w:r>
      <w:r w:rsidRPr="00695533">
        <w:rPr>
          <w:szCs w:val="24"/>
          <w:rtl/>
        </w:rPr>
        <w:t xml:space="preserve"> – החברה תהיה רשאית לשלם לעובד דמי הבראה בסכום המקובל בחברה, אך לא פחות מהקבוע בדין.</w:t>
      </w:r>
    </w:p>
    <w:p w14:paraId="4C8B5A24" w14:textId="77777777" w:rsidR="00223701" w:rsidRPr="00695533" w:rsidRDefault="00223701" w:rsidP="00223701">
      <w:pPr>
        <w:tabs>
          <w:tab w:val="left" w:pos="206"/>
        </w:tabs>
        <w:jc w:val="both"/>
        <w:rPr>
          <w:rFonts w:ascii="David" w:hAnsi="David" w:cs="David"/>
          <w:rtl/>
        </w:rPr>
      </w:pPr>
    </w:p>
    <w:p w14:paraId="190E084C" w14:textId="77777777" w:rsidR="00223701" w:rsidRPr="00695533" w:rsidRDefault="00223701" w:rsidP="002C3403">
      <w:pPr>
        <w:pStyle w:val="a7"/>
        <w:numPr>
          <w:ilvl w:val="1"/>
          <w:numId w:val="27"/>
        </w:numPr>
        <w:tabs>
          <w:tab w:val="left" w:pos="206"/>
        </w:tabs>
        <w:spacing w:after="0" w:line="240" w:lineRule="auto"/>
        <w:ind w:right="0"/>
        <w:rPr>
          <w:szCs w:val="24"/>
        </w:rPr>
      </w:pPr>
      <w:r w:rsidRPr="00695533">
        <w:rPr>
          <w:szCs w:val="24"/>
          <w:rtl/>
        </w:rPr>
        <w:t>החברה תהיה רשאית לשלם דמי חבר לאגודות מקצועיות.</w:t>
      </w:r>
    </w:p>
    <w:p w14:paraId="4A6110B1" w14:textId="77777777" w:rsidR="00223701" w:rsidRPr="00695533" w:rsidRDefault="00223701" w:rsidP="00223701">
      <w:pPr>
        <w:pStyle w:val="a7"/>
        <w:tabs>
          <w:tab w:val="left" w:pos="206"/>
        </w:tabs>
        <w:spacing w:after="0" w:line="240" w:lineRule="auto"/>
        <w:ind w:right="0" w:firstLine="0"/>
        <w:rPr>
          <w:szCs w:val="24"/>
        </w:rPr>
      </w:pPr>
    </w:p>
    <w:p w14:paraId="08CA4247" w14:textId="77777777" w:rsidR="00223701" w:rsidRPr="00695533" w:rsidRDefault="00223701" w:rsidP="002C3403">
      <w:pPr>
        <w:pStyle w:val="a7"/>
        <w:numPr>
          <w:ilvl w:val="1"/>
          <w:numId w:val="27"/>
        </w:numPr>
        <w:tabs>
          <w:tab w:val="left" w:pos="206"/>
        </w:tabs>
        <w:spacing w:after="0" w:line="240" w:lineRule="auto"/>
        <w:ind w:right="0"/>
        <w:rPr>
          <w:szCs w:val="24"/>
        </w:rPr>
      </w:pPr>
      <w:r w:rsidRPr="00695533">
        <w:rPr>
          <w:szCs w:val="24"/>
          <w:rtl/>
        </w:rPr>
        <w:t>החברה תהיה רשאית לשלם דמי מינוי לעיתונים ולספרות מקצועית.</w:t>
      </w:r>
    </w:p>
    <w:p w14:paraId="525D4774" w14:textId="77777777" w:rsidR="00223701" w:rsidRPr="00695533" w:rsidRDefault="00223701" w:rsidP="00223701">
      <w:pPr>
        <w:pStyle w:val="a7"/>
        <w:tabs>
          <w:tab w:val="left" w:pos="206"/>
        </w:tabs>
        <w:spacing w:after="0" w:line="240" w:lineRule="auto"/>
        <w:ind w:right="0" w:firstLine="0"/>
        <w:rPr>
          <w:szCs w:val="24"/>
        </w:rPr>
      </w:pPr>
    </w:p>
    <w:p w14:paraId="5F8B06AE" w14:textId="77777777" w:rsidR="00223701" w:rsidRPr="00695533" w:rsidRDefault="00223701" w:rsidP="002C3403">
      <w:pPr>
        <w:pStyle w:val="a7"/>
        <w:numPr>
          <w:ilvl w:val="1"/>
          <w:numId w:val="27"/>
        </w:numPr>
        <w:tabs>
          <w:tab w:val="left" w:pos="206"/>
        </w:tabs>
        <w:spacing w:after="0" w:line="240" w:lineRule="auto"/>
        <w:ind w:right="0"/>
        <w:rPr>
          <w:szCs w:val="24"/>
        </w:rPr>
      </w:pPr>
      <w:r w:rsidRPr="00695533">
        <w:rPr>
          <w:szCs w:val="24"/>
          <w:u w:val="single" w:color="000000"/>
          <w:rtl/>
        </w:rPr>
        <w:lastRenderedPageBreak/>
        <w:t>שיפוי וביטוח לנושא משרה</w:t>
      </w:r>
      <w:r w:rsidRPr="00695533">
        <w:rPr>
          <w:szCs w:val="24"/>
          <w:rtl/>
        </w:rPr>
        <w:t xml:space="preserve"> – החברה תהיה רשאית להעניק בהתאם להוראות הדין כתבי שיפוי בנוסח שיוחלט על ידה. בלי לגרוע מהאמור לעיל, החברה תהיה רשאית לרכוש לנושאי המשרה ביטוח אחריות נושאי משרה.</w:t>
      </w:r>
    </w:p>
    <w:p w14:paraId="738C1D5F" w14:textId="77777777" w:rsidR="00223701" w:rsidRPr="00695533" w:rsidRDefault="00223701" w:rsidP="00223701">
      <w:pPr>
        <w:tabs>
          <w:tab w:val="left" w:pos="206"/>
        </w:tabs>
        <w:jc w:val="both"/>
        <w:rPr>
          <w:rFonts w:ascii="David" w:hAnsi="David" w:cs="David"/>
        </w:rPr>
      </w:pPr>
      <w:r w:rsidRPr="00695533">
        <w:rPr>
          <w:rFonts w:ascii="David" w:hAnsi="David" w:cs="David"/>
          <w:rtl/>
        </w:rPr>
        <w:t xml:space="preserve"> </w:t>
      </w:r>
    </w:p>
    <w:p w14:paraId="614FAF62" w14:textId="77777777" w:rsidR="00223701" w:rsidRPr="00695533" w:rsidRDefault="00223701" w:rsidP="002C3403">
      <w:pPr>
        <w:pStyle w:val="a7"/>
        <w:numPr>
          <w:ilvl w:val="1"/>
          <w:numId w:val="27"/>
        </w:numPr>
        <w:tabs>
          <w:tab w:val="left" w:pos="206"/>
        </w:tabs>
        <w:spacing w:after="0" w:line="240" w:lineRule="auto"/>
        <w:ind w:right="0"/>
        <w:rPr>
          <w:szCs w:val="24"/>
        </w:rPr>
      </w:pPr>
      <w:r w:rsidRPr="00695533">
        <w:rPr>
          <w:szCs w:val="24"/>
          <w:u w:val="single" w:color="000000"/>
          <w:rtl/>
        </w:rPr>
        <w:t>הסדרי פרישה</w:t>
      </w:r>
      <w:r w:rsidRPr="00695533">
        <w:rPr>
          <w:szCs w:val="24"/>
          <w:rtl/>
        </w:rPr>
        <w:t xml:space="preserve"> </w:t>
      </w:r>
    </w:p>
    <w:p w14:paraId="490835C4" w14:textId="77777777" w:rsidR="00223701" w:rsidRPr="00695533" w:rsidRDefault="00223701" w:rsidP="00223701">
      <w:pPr>
        <w:spacing w:after="268" w:line="256" w:lineRule="auto"/>
        <w:ind w:right="-14" w:firstLine="711"/>
        <w:jc w:val="both"/>
        <w:rPr>
          <w:rFonts w:ascii="David" w:hAnsi="David" w:cs="David"/>
        </w:rPr>
      </w:pPr>
      <w:r w:rsidRPr="00695533">
        <w:rPr>
          <w:rFonts w:ascii="David" w:hAnsi="David" w:cs="David"/>
          <w:b/>
          <w:bCs/>
          <w:rtl/>
        </w:rPr>
        <w:t>מענק פרישה ביחס לבעל תפקיד מרכזי שהוא נושא משרה</w:t>
      </w:r>
    </w:p>
    <w:p w14:paraId="5B038102" w14:textId="77777777" w:rsidR="00223701" w:rsidRPr="00695533" w:rsidRDefault="00223701" w:rsidP="00223701">
      <w:pPr>
        <w:tabs>
          <w:tab w:val="left" w:pos="206"/>
        </w:tabs>
        <w:ind w:left="360"/>
        <w:jc w:val="both"/>
        <w:rPr>
          <w:rFonts w:ascii="David" w:hAnsi="David" w:cs="David"/>
        </w:rPr>
      </w:pPr>
      <w:r w:rsidRPr="00695533">
        <w:rPr>
          <w:rFonts w:ascii="David" w:hAnsi="David" w:cs="David"/>
          <w:rtl/>
        </w:rPr>
        <w:t>מעבר לתשלום פיצויי פיטורים על פי דין, החברה תהיה רשאית</w:t>
      </w:r>
      <w:r w:rsidR="005121BB" w:rsidRPr="00695533">
        <w:rPr>
          <w:rFonts w:ascii="David" w:hAnsi="David" w:cs="David"/>
          <w:rtl/>
        </w:rPr>
        <w:t>, באישור וועדת התגמול,</w:t>
      </w:r>
      <w:r w:rsidRPr="00695533">
        <w:rPr>
          <w:rFonts w:ascii="David" w:hAnsi="David" w:cs="David"/>
          <w:rtl/>
        </w:rPr>
        <w:t xml:space="preserve"> להעניק לבעל תפקיד מרכזי שהוא נושא משרה מענק פרישה חד-פעמי בגובה של עד 3 משכורות בסיס. משכורת בסיס למענק פרישה תכלול גם רכיבי שכר נלווים כגון: רכב, טלפון, החזר הוצאות, זכויות סוציאליות והטבות נלוות לשכר (לרבות: הפרשות לביטוחי מנהלים ו/או קרנות פנסיה, קרנות השתלמות, ימי חופשה, דמי הבראה, ימי מחלה וכו'). גובה מענק הפרישה האמור יקבע במועד חתימת הסכם העסקה עם נושא המשרה או בסמוך לתחילת עבודתו או בסמוך לתחילת העסקתו בתפקיד מסוים. </w:t>
      </w:r>
    </w:p>
    <w:p w14:paraId="30791DA4" w14:textId="77777777" w:rsidR="00223701" w:rsidRPr="00695533" w:rsidRDefault="00223701" w:rsidP="00223701">
      <w:pPr>
        <w:pStyle w:val="a7"/>
        <w:tabs>
          <w:tab w:val="left" w:pos="206"/>
        </w:tabs>
        <w:spacing w:after="0" w:line="240" w:lineRule="auto"/>
        <w:ind w:right="0" w:firstLine="0"/>
        <w:rPr>
          <w:szCs w:val="24"/>
        </w:rPr>
      </w:pPr>
    </w:p>
    <w:p w14:paraId="3172F658" w14:textId="77777777" w:rsidR="00223701" w:rsidRPr="00695533" w:rsidRDefault="00223701" w:rsidP="00223701">
      <w:pPr>
        <w:tabs>
          <w:tab w:val="left" w:pos="206"/>
        </w:tabs>
        <w:ind w:left="360"/>
        <w:jc w:val="both"/>
        <w:rPr>
          <w:rFonts w:ascii="David" w:hAnsi="David" w:cs="David"/>
        </w:rPr>
      </w:pPr>
      <w:r w:rsidRPr="00695533">
        <w:rPr>
          <w:rFonts w:ascii="David" w:hAnsi="David" w:cs="David"/>
          <w:rtl/>
        </w:rPr>
        <w:t>במסגרת השיקולים שתשקול החברה באשר לקביעת מענק הפרישה, כאמור לעיל, יילקחו בחשבון, בין היתר, נסיבות הפרישה, תקופת הכהונה, תפקידיו, כישוריו, ביצועי החברה בתקופת הכהונה ותרומתו של נושא המשרה להשגת יעדי החברה, ולניהול כספי החוסכים באמצעותה, נסיבות הפרישה, התגמול השנתי שקיבל במהלך תקופת הכהונה.</w:t>
      </w:r>
    </w:p>
    <w:p w14:paraId="226158AD" w14:textId="77777777" w:rsidR="00223701" w:rsidRPr="00695533" w:rsidRDefault="00223701" w:rsidP="00223701">
      <w:pPr>
        <w:pStyle w:val="a7"/>
        <w:tabs>
          <w:tab w:val="left" w:pos="206"/>
        </w:tabs>
        <w:spacing w:after="0" w:line="240" w:lineRule="auto"/>
        <w:ind w:right="0" w:firstLine="0"/>
        <w:rPr>
          <w:szCs w:val="24"/>
        </w:rPr>
      </w:pPr>
      <w:r w:rsidRPr="00695533">
        <w:rPr>
          <w:szCs w:val="24"/>
          <w:rtl/>
        </w:rPr>
        <w:t xml:space="preserve"> </w:t>
      </w:r>
    </w:p>
    <w:p w14:paraId="0B939C00" w14:textId="1ADBDE3E" w:rsidR="00223701" w:rsidRPr="00695533" w:rsidRDefault="00223701" w:rsidP="00223701">
      <w:pPr>
        <w:tabs>
          <w:tab w:val="left" w:pos="206"/>
        </w:tabs>
        <w:ind w:left="360"/>
        <w:jc w:val="both"/>
        <w:rPr>
          <w:rFonts w:ascii="David" w:hAnsi="David" w:cs="David"/>
          <w:rtl/>
        </w:rPr>
      </w:pPr>
      <w:r w:rsidRPr="00695533">
        <w:rPr>
          <w:rFonts w:ascii="David" w:hAnsi="David" w:cs="David"/>
          <w:rtl/>
        </w:rPr>
        <w:t>קביעת תנאי פרישה לנושאי משרה יהיו בכפוף לאישור הדירקטוריון, לאחר שקיבל את אישור ועדת התגמול</w:t>
      </w:r>
      <w:r w:rsidR="00C17CB9">
        <w:rPr>
          <w:rFonts w:ascii="David" w:hAnsi="David" w:cs="David" w:hint="cs"/>
          <w:rtl/>
        </w:rPr>
        <w:t xml:space="preserve"> (וכן כפוף לאישור הממונה על השכר ככל והמדובר בעובד חברה)</w:t>
      </w:r>
      <w:r w:rsidRPr="00695533">
        <w:rPr>
          <w:rFonts w:ascii="David" w:hAnsi="David" w:cs="David"/>
          <w:rtl/>
        </w:rPr>
        <w:t xml:space="preserve">. </w:t>
      </w:r>
    </w:p>
    <w:p w14:paraId="38D4537D" w14:textId="77777777" w:rsidR="00F859A2" w:rsidRPr="00695533" w:rsidRDefault="00F859A2" w:rsidP="00223701">
      <w:pPr>
        <w:numPr>
          <w:ilvl w:val="0"/>
          <w:numId w:val="1"/>
        </w:numPr>
        <w:tabs>
          <w:tab w:val="left" w:pos="206"/>
        </w:tabs>
        <w:spacing w:before="240" w:after="120"/>
        <w:ind w:left="204" w:hanging="357"/>
        <w:jc w:val="both"/>
        <w:rPr>
          <w:rFonts w:ascii="David" w:hAnsi="David" w:cs="David"/>
          <w:b/>
          <w:bCs/>
          <w:sz w:val="28"/>
          <w:szCs w:val="28"/>
          <w:u w:val="single"/>
        </w:rPr>
      </w:pPr>
      <w:r w:rsidRPr="00695533">
        <w:rPr>
          <w:rFonts w:ascii="David" w:hAnsi="David" w:cs="David"/>
          <w:b/>
          <w:bCs/>
          <w:sz w:val="28"/>
          <w:szCs w:val="28"/>
          <w:u w:val="single"/>
          <w:rtl/>
        </w:rPr>
        <w:t xml:space="preserve"> השבה של רכיב משתנה</w:t>
      </w:r>
    </w:p>
    <w:p w14:paraId="4493B1AF" w14:textId="77777777" w:rsidR="00F15270" w:rsidRPr="00695533" w:rsidRDefault="00F15270" w:rsidP="00F15270">
      <w:pPr>
        <w:pStyle w:val="a7"/>
        <w:numPr>
          <w:ilvl w:val="0"/>
          <w:numId w:val="5"/>
        </w:numPr>
        <w:tabs>
          <w:tab w:val="left" w:pos="206"/>
        </w:tabs>
        <w:spacing w:after="0" w:line="240" w:lineRule="auto"/>
        <w:ind w:right="0"/>
        <w:rPr>
          <w:vanish/>
          <w:szCs w:val="24"/>
          <w:rtl/>
        </w:rPr>
      </w:pPr>
    </w:p>
    <w:p w14:paraId="71146727" w14:textId="77777777" w:rsidR="00F15270" w:rsidRPr="00695533" w:rsidRDefault="00F15270" w:rsidP="00F15270">
      <w:pPr>
        <w:pStyle w:val="a7"/>
        <w:numPr>
          <w:ilvl w:val="0"/>
          <w:numId w:val="5"/>
        </w:numPr>
        <w:tabs>
          <w:tab w:val="left" w:pos="206"/>
        </w:tabs>
        <w:spacing w:after="0" w:line="240" w:lineRule="auto"/>
        <w:ind w:right="0"/>
        <w:rPr>
          <w:vanish/>
          <w:szCs w:val="24"/>
          <w:rtl/>
        </w:rPr>
      </w:pPr>
    </w:p>
    <w:p w14:paraId="36C6488B" w14:textId="77777777" w:rsidR="00F15270" w:rsidRPr="00695533" w:rsidRDefault="00F15270" w:rsidP="00F15270">
      <w:pPr>
        <w:pStyle w:val="a7"/>
        <w:numPr>
          <w:ilvl w:val="0"/>
          <w:numId w:val="5"/>
        </w:numPr>
        <w:tabs>
          <w:tab w:val="left" w:pos="206"/>
        </w:tabs>
        <w:spacing w:after="0" w:line="240" w:lineRule="auto"/>
        <w:ind w:right="0"/>
        <w:rPr>
          <w:vanish/>
          <w:szCs w:val="24"/>
          <w:rtl/>
        </w:rPr>
      </w:pPr>
    </w:p>
    <w:p w14:paraId="6FD9BC42" w14:textId="77777777" w:rsidR="00F15270" w:rsidRPr="00695533" w:rsidRDefault="00F15270" w:rsidP="00F15270">
      <w:pPr>
        <w:pStyle w:val="a7"/>
        <w:numPr>
          <w:ilvl w:val="0"/>
          <w:numId w:val="5"/>
        </w:numPr>
        <w:tabs>
          <w:tab w:val="left" w:pos="206"/>
        </w:tabs>
        <w:spacing w:after="0" w:line="240" w:lineRule="auto"/>
        <w:ind w:right="0"/>
        <w:rPr>
          <w:vanish/>
          <w:szCs w:val="24"/>
          <w:rtl/>
        </w:rPr>
      </w:pPr>
    </w:p>
    <w:p w14:paraId="0F181FEC" w14:textId="77777777" w:rsidR="00F15270" w:rsidRPr="00695533" w:rsidRDefault="00F15270" w:rsidP="00F15270">
      <w:pPr>
        <w:pStyle w:val="a7"/>
        <w:numPr>
          <w:ilvl w:val="0"/>
          <w:numId w:val="5"/>
        </w:numPr>
        <w:tabs>
          <w:tab w:val="left" w:pos="206"/>
        </w:tabs>
        <w:spacing w:after="0" w:line="240" w:lineRule="auto"/>
        <w:ind w:right="0"/>
        <w:rPr>
          <w:vanish/>
          <w:szCs w:val="24"/>
          <w:rtl/>
        </w:rPr>
      </w:pPr>
    </w:p>
    <w:p w14:paraId="2B8D6299" w14:textId="77777777" w:rsidR="00F15270" w:rsidRPr="00695533" w:rsidRDefault="00F15270" w:rsidP="00F15270">
      <w:pPr>
        <w:pStyle w:val="a7"/>
        <w:numPr>
          <w:ilvl w:val="0"/>
          <w:numId w:val="5"/>
        </w:numPr>
        <w:tabs>
          <w:tab w:val="left" w:pos="206"/>
        </w:tabs>
        <w:spacing w:after="0" w:line="240" w:lineRule="auto"/>
        <w:ind w:right="0"/>
        <w:rPr>
          <w:vanish/>
          <w:szCs w:val="24"/>
          <w:rtl/>
        </w:rPr>
      </w:pPr>
    </w:p>
    <w:p w14:paraId="6A0C5475" w14:textId="77777777" w:rsidR="00F15270" w:rsidRPr="00695533" w:rsidRDefault="00F15270" w:rsidP="00F15270">
      <w:pPr>
        <w:pStyle w:val="a7"/>
        <w:numPr>
          <w:ilvl w:val="0"/>
          <w:numId w:val="5"/>
        </w:numPr>
        <w:tabs>
          <w:tab w:val="left" w:pos="206"/>
        </w:tabs>
        <w:spacing w:after="0" w:line="240" w:lineRule="auto"/>
        <w:ind w:right="0"/>
        <w:rPr>
          <w:vanish/>
          <w:szCs w:val="24"/>
          <w:rtl/>
        </w:rPr>
      </w:pPr>
    </w:p>
    <w:p w14:paraId="2742334B" w14:textId="77777777" w:rsidR="002C3403" w:rsidRDefault="002C3403" w:rsidP="002C3403">
      <w:pPr>
        <w:ind w:left="368" w:hanging="426"/>
        <w:rPr>
          <w:rFonts w:ascii="David" w:hAnsi="David" w:cs="David"/>
          <w:rtl/>
        </w:rPr>
      </w:pPr>
      <w:r>
        <w:rPr>
          <w:rFonts w:hint="cs"/>
          <w:rtl/>
        </w:rPr>
        <w:t xml:space="preserve">     </w:t>
      </w:r>
      <w:r>
        <w:rPr>
          <w:rFonts w:ascii="David" w:hAnsi="David" w:cs="David" w:hint="cs"/>
          <w:rtl/>
        </w:rPr>
        <w:t xml:space="preserve">12.1  </w:t>
      </w:r>
      <w:r w:rsidR="00D37EFB" w:rsidRPr="002C3403">
        <w:rPr>
          <w:rFonts w:ascii="David" w:hAnsi="David" w:cs="David"/>
          <w:rtl/>
        </w:rPr>
        <w:t xml:space="preserve">בעל תפקיד מרכזי יחזיר </w:t>
      </w:r>
      <w:r w:rsidR="00BD54C5" w:rsidRPr="002C3403">
        <w:rPr>
          <w:rFonts w:ascii="David" w:hAnsi="David" w:cs="David"/>
          <w:rtl/>
        </w:rPr>
        <w:t>לחברה</w:t>
      </w:r>
      <w:r w:rsidR="00D37EFB" w:rsidRPr="002C3403">
        <w:rPr>
          <w:rFonts w:ascii="David" w:hAnsi="David" w:cs="David"/>
          <w:rtl/>
        </w:rPr>
        <w:t xml:space="preserve">, סכומים ששולמו לו כרכיב משתנה, במסגרת תנאי </w:t>
      </w:r>
    </w:p>
    <w:p w14:paraId="7610F447" w14:textId="567416AC" w:rsidR="00F15270" w:rsidRPr="002C3403" w:rsidRDefault="002C3403" w:rsidP="002C3403">
      <w:pPr>
        <w:ind w:left="368" w:hanging="426"/>
        <w:rPr>
          <w:rFonts w:ascii="David" w:hAnsi="David" w:cs="David"/>
        </w:rPr>
      </w:pPr>
      <w:r>
        <w:rPr>
          <w:rFonts w:ascii="David" w:hAnsi="David" w:cs="David" w:hint="cs"/>
          <w:rtl/>
        </w:rPr>
        <w:t xml:space="preserve">               </w:t>
      </w:r>
      <w:r w:rsidR="00D37EFB" w:rsidRPr="002C3403">
        <w:rPr>
          <w:rFonts w:ascii="David" w:hAnsi="David" w:cs="David"/>
          <w:rtl/>
        </w:rPr>
        <w:t>כהונתו והעסקתו (להלן: "השבה") בהתקיימותן של נסיבות חריגות במיוחד. בין השאר:</w:t>
      </w:r>
      <w:r w:rsidR="00F348B4" w:rsidRPr="002C3403">
        <w:rPr>
          <w:rFonts w:ascii="David" w:hAnsi="David" w:cs="David"/>
          <w:rtl/>
        </w:rPr>
        <w:t xml:space="preserve"> </w:t>
      </w:r>
    </w:p>
    <w:p w14:paraId="03783797" w14:textId="77777777" w:rsidR="00F15270" w:rsidRPr="00695533" w:rsidRDefault="00602A82" w:rsidP="009378A9">
      <w:pPr>
        <w:pStyle w:val="a7"/>
        <w:tabs>
          <w:tab w:val="left" w:pos="206"/>
        </w:tabs>
        <w:spacing w:after="0" w:line="240" w:lineRule="auto"/>
        <w:ind w:right="0" w:firstLine="0"/>
        <w:rPr>
          <w:szCs w:val="24"/>
          <w:rtl/>
        </w:rPr>
      </w:pPr>
      <w:r w:rsidRPr="00695533">
        <w:rPr>
          <w:szCs w:val="24"/>
          <w:rtl/>
        </w:rPr>
        <w:t>(א)</w:t>
      </w:r>
      <w:r w:rsidR="00D37EFB" w:rsidRPr="00695533">
        <w:rPr>
          <w:szCs w:val="24"/>
          <w:rtl/>
        </w:rPr>
        <w:t xml:space="preserve"> שולמו לבעל תפקיד מרכזי סכומים, על בסיס נתונים שהתבררו כמוטעים והוצגו מחדש בדוחות הכספיים של </w:t>
      </w:r>
      <w:r w:rsidR="00F15270" w:rsidRPr="00695533">
        <w:rPr>
          <w:szCs w:val="24"/>
          <w:rtl/>
        </w:rPr>
        <w:t>החברה או של הקרן שבניהולה.</w:t>
      </w:r>
    </w:p>
    <w:p w14:paraId="35F94FA2" w14:textId="77777777" w:rsidR="00F15270" w:rsidRPr="00695533" w:rsidRDefault="00602A82" w:rsidP="009378A9">
      <w:pPr>
        <w:pStyle w:val="a7"/>
        <w:tabs>
          <w:tab w:val="left" w:pos="206"/>
        </w:tabs>
        <w:spacing w:after="0" w:line="240" w:lineRule="auto"/>
        <w:ind w:right="0" w:firstLine="0"/>
        <w:rPr>
          <w:szCs w:val="24"/>
          <w:rtl/>
        </w:rPr>
      </w:pPr>
      <w:r w:rsidRPr="00695533">
        <w:rPr>
          <w:szCs w:val="24"/>
          <w:rtl/>
        </w:rPr>
        <w:t xml:space="preserve">(ב) </w:t>
      </w:r>
      <w:r w:rsidR="00D37EFB" w:rsidRPr="00695533">
        <w:rPr>
          <w:szCs w:val="24"/>
          <w:rtl/>
        </w:rPr>
        <w:t xml:space="preserve">שולמו לבעל תפקיד מרכזי סכומים, בהתחשב ברמת סיכון שהתברר כי לא שיקפה באופן מהותי את החשיפה בפועל של </w:t>
      </w:r>
      <w:r w:rsidR="00BD54C5" w:rsidRPr="00695533">
        <w:rPr>
          <w:szCs w:val="24"/>
          <w:rtl/>
        </w:rPr>
        <w:t>החברה</w:t>
      </w:r>
      <w:r w:rsidR="00D37EFB" w:rsidRPr="00695533">
        <w:rPr>
          <w:szCs w:val="24"/>
          <w:rtl/>
        </w:rPr>
        <w:t xml:space="preserve"> או של </w:t>
      </w:r>
      <w:r w:rsidR="00BD54C5" w:rsidRPr="00695533">
        <w:rPr>
          <w:szCs w:val="24"/>
          <w:rtl/>
        </w:rPr>
        <w:t>העמיתים</w:t>
      </w:r>
      <w:r w:rsidR="00F15270" w:rsidRPr="00695533">
        <w:rPr>
          <w:szCs w:val="24"/>
          <w:rtl/>
        </w:rPr>
        <w:t>.</w:t>
      </w:r>
    </w:p>
    <w:p w14:paraId="3870C109" w14:textId="3E96B9E6" w:rsidR="00D37EFB" w:rsidRDefault="00D37EFB" w:rsidP="009378A9">
      <w:pPr>
        <w:pStyle w:val="a7"/>
        <w:tabs>
          <w:tab w:val="left" w:pos="206"/>
        </w:tabs>
        <w:spacing w:after="0" w:line="240" w:lineRule="auto"/>
        <w:ind w:right="0" w:firstLine="0"/>
        <w:rPr>
          <w:szCs w:val="24"/>
          <w:rtl/>
        </w:rPr>
      </w:pPr>
      <w:r w:rsidRPr="00695533">
        <w:rPr>
          <w:szCs w:val="24"/>
          <w:rtl/>
        </w:rPr>
        <w:t>(ג) קביעה של ועדת תגמול כי בעל תפקיד מרכזי היה שותף להתנהגות שגרמה נזק חריג</w:t>
      </w:r>
      <w:r w:rsidR="00F15270" w:rsidRPr="00695533">
        <w:rPr>
          <w:rStyle w:val="af4"/>
          <w:szCs w:val="24"/>
          <w:rtl/>
        </w:rPr>
        <w:footnoteReference w:id="1"/>
      </w:r>
      <w:r w:rsidRPr="00695533">
        <w:rPr>
          <w:szCs w:val="24"/>
          <w:rtl/>
        </w:rPr>
        <w:t xml:space="preserve"> </w:t>
      </w:r>
      <w:r w:rsidR="00BD54C5" w:rsidRPr="00695533">
        <w:rPr>
          <w:szCs w:val="24"/>
          <w:rtl/>
        </w:rPr>
        <w:t>לחברה</w:t>
      </w:r>
      <w:r w:rsidRPr="00695533">
        <w:rPr>
          <w:szCs w:val="24"/>
          <w:rtl/>
        </w:rPr>
        <w:t xml:space="preserve"> או לעמיתים</w:t>
      </w:r>
      <w:r w:rsidR="00F15270" w:rsidRPr="00695533">
        <w:rPr>
          <w:szCs w:val="24"/>
          <w:rtl/>
        </w:rPr>
        <w:t>.</w:t>
      </w:r>
      <w:r w:rsidRPr="00695533">
        <w:rPr>
          <w:szCs w:val="24"/>
          <w:rtl/>
        </w:rPr>
        <w:t xml:space="preserve"> לרבות: הונאה או פעילות לא חוקית אחרת, הפרת חובת אמונים, הפרה מכוונת או התעלמות ברשלנות חמורה ממדיניות הגוף המוסדי, כלליו ונהליו.</w:t>
      </w:r>
    </w:p>
    <w:p w14:paraId="3766783C" w14:textId="711F5ACE" w:rsidR="002C3403" w:rsidRDefault="002C3403" w:rsidP="009378A9">
      <w:pPr>
        <w:pStyle w:val="a7"/>
        <w:tabs>
          <w:tab w:val="left" w:pos="206"/>
        </w:tabs>
        <w:spacing w:after="0" w:line="240" w:lineRule="auto"/>
        <w:ind w:right="0" w:firstLine="0"/>
        <w:rPr>
          <w:szCs w:val="24"/>
          <w:rtl/>
        </w:rPr>
      </w:pPr>
    </w:p>
    <w:p w14:paraId="6F15EB10" w14:textId="77777777" w:rsidR="002C3403" w:rsidRDefault="00D37EFB" w:rsidP="002C3403">
      <w:pPr>
        <w:pStyle w:val="a7"/>
        <w:numPr>
          <w:ilvl w:val="1"/>
          <w:numId w:val="28"/>
        </w:numPr>
        <w:tabs>
          <w:tab w:val="left" w:pos="206"/>
        </w:tabs>
        <w:spacing w:after="0" w:line="240" w:lineRule="auto"/>
        <w:ind w:right="0"/>
        <w:rPr>
          <w:szCs w:val="24"/>
        </w:rPr>
      </w:pPr>
      <w:r w:rsidRPr="002C3403">
        <w:rPr>
          <w:szCs w:val="24"/>
          <w:rtl/>
        </w:rPr>
        <w:t>ועדת תגמול תקבע אם</w:t>
      </w:r>
      <w:r w:rsidR="00F15270" w:rsidRPr="002C3403">
        <w:rPr>
          <w:szCs w:val="24"/>
          <w:rtl/>
        </w:rPr>
        <w:t xml:space="preserve"> התקיימו נסיבות להשבה לפי פסקה 11.1 </w:t>
      </w:r>
      <w:r w:rsidRPr="002C3403">
        <w:rPr>
          <w:szCs w:val="24"/>
          <w:rtl/>
        </w:rPr>
        <w:t xml:space="preserve">ואת סכום ההשבה; סכום </w:t>
      </w:r>
    </w:p>
    <w:p w14:paraId="276CA392" w14:textId="7494FB2A" w:rsidR="00D37EFB" w:rsidRPr="002C3403" w:rsidRDefault="002C3403" w:rsidP="002C3403">
      <w:pPr>
        <w:pStyle w:val="a7"/>
        <w:tabs>
          <w:tab w:val="left" w:pos="206"/>
        </w:tabs>
        <w:spacing w:after="0" w:line="240" w:lineRule="auto"/>
        <w:ind w:left="601" w:right="0" w:firstLine="0"/>
        <w:rPr>
          <w:szCs w:val="24"/>
        </w:rPr>
      </w:pPr>
      <w:r>
        <w:rPr>
          <w:rFonts w:hint="cs"/>
          <w:szCs w:val="24"/>
          <w:rtl/>
        </w:rPr>
        <w:t xml:space="preserve">  </w:t>
      </w:r>
      <w:r w:rsidR="00D37EFB" w:rsidRPr="002C3403">
        <w:rPr>
          <w:szCs w:val="24"/>
          <w:rtl/>
        </w:rPr>
        <w:t>השבה ייקבע בשים לב, בין היתר, לאחריות בעל התפקיד, סמכויותיו ומידת מעורבותו.</w:t>
      </w:r>
    </w:p>
    <w:p w14:paraId="0DCBDE53" w14:textId="77777777" w:rsidR="00F15270" w:rsidRPr="00695533" w:rsidRDefault="00F15270" w:rsidP="009378A9">
      <w:pPr>
        <w:pStyle w:val="a7"/>
        <w:tabs>
          <w:tab w:val="left" w:pos="206"/>
        </w:tabs>
        <w:spacing w:after="0" w:line="240" w:lineRule="auto"/>
        <w:ind w:right="0" w:firstLine="0"/>
        <w:rPr>
          <w:szCs w:val="24"/>
          <w:rtl/>
        </w:rPr>
      </w:pPr>
    </w:p>
    <w:p w14:paraId="429455E7" w14:textId="77777777" w:rsidR="002C3403" w:rsidRDefault="00BD54C5" w:rsidP="002C3403">
      <w:pPr>
        <w:pStyle w:val="a7"/>
        <w:numPr>
          <w:ilvl w:val="1"/>
          <w:numId w:val="28"/>
        </w:numPr>
        <w:tabs>
          <w:tab w:val="left" w:pos="206"/>
        </w:tabs>
        <w:spacing w:after="0" w:line="240" w:lineRule="auto"/>
        <w:ind w:right="0"/>
        <w:rPr>
          <w:szCs w:val="24"/>
        </w:rPr>
      </w:pPr>
      <w:r w:rsidRPr="00695533">
        <w:rPr>
          <w:szCs w:val="24"/>
          <w:rtl/>
        </w:rPr>
        <w:t>החברה</w:t>
      </w:r>
      <w:r w:rsidR="00D37EFB" w:rsidRPr="00695533">
        <w:rPr>
          <w:szCs w:val="24"/>
          <w:rtl/>
        </w:rPr>
        <w:t xml:space="preserve"> תנקוט באמצעים העומדים לרשותה, בנסיבות הענ</w:t>
      </w:r>
      <w:r w:rsidR="00F348B4" w:rsidRPr="00695533">
        <w:rPr>
          <w:szCs w:val="24"/>
          <w:rtl/>
        </w:rPr>
        <w:t>י</w:t>
      </w:r>
      <w:r w:rsidR="00D37EFB" w:rsidRPr="00695533">
        <w:rPr>
          <w:szCs w:val="24"/>
          <w:rtl/>
        </w:rPr>
        <w:t xml:space="preserve">ין, לרבות באמצעים </w:t>
      </w:r>
    </w:p>
    <w:p w14:paraId="611CD82A" w14:textId="55BD45C5" w:rsidR="00D37EFB" w:rsidRPr="002C3403" w:rsidRDefault="002C3403" w:rsidP="002C3403">
      <w:pPr>
        <w:tabs>
          <w:tab w:val="left" w:pos="206"/>
        </w:tabs>
        <w:rPr>
          <w:rFonts w:ascii="David" w:hAnsi="David" w:cs="David"/>
        </w:rPr>
      </w:pPr>
      <w:r w:rsidRPr="002C3403">
        <w:rPr>
          <w:rFonts w:ascii="David" w:hAnsi="David" w:cs="David"/>
          <w:rtl/>
        </w:rPr>
        <w:t xml:space="preserve">            </w:t>
      </w:r>
      <w:r w:rsidR="00D37EFB" w:rsidRPr="002C3403">
        <w:rPr>
          <w:rFonts w:ascii="David" w:hAnsi="David" w:cs="David"/>
          <w:rtl/>
        </w:rPr>
        <w:t xml:space="preserve">משפטיים, להשבת סכומים הטעונים השבה לפי </w:t>
      </w:r>
      <w:r w:rsidR="00F15270" w:rsidRPr="002C3403">
        <w:rPr>
          <w:rFonts w:ascii="David" w:hAnsi="David" w:cs="David"/>
          <w:rtl/>
        </w:rPr>
        <w:t>סעיף</w:t>
      </w:r>
      <w:r w:rsidR="00D37EFB" w:rsidRPr="002C3403">
        <w:rPr>
          <w:rFonts w:ascii="David" w:hAnsi="David" w:cs="David"/>
          <w:rtl/>
        </w:rPr>
        <w:t xml:space="preserve"> </w:t>
      </w:r>
      <w:r w:rsidR="00F15270" w:rsidRPr="002C3403">
        <w:rPr>
          <w:rFonts w:ascii="David" w:hAnsi="David" w:cs="David"/>
          <w:rtl/>
        </w:rPr>
        <w:t>זה</w:t>
      </w:r>
      <w:r w:rsidR="00D37EFB" w:rsidRPr="002C3403">
        <w:rPr>
          <w:rFonts w:ascii="David" w:hAnsi="David" w:cs="David"/>
          <w:rtl/>
        </w:rPr>
        <w:t>.</w:t>
      </w:r>
    </w:p>
    <w:p w14:paraId="2A9D9E13" w14:textId="77777777" w:rsidR="00F15270" w:rsidRPr="00695533" w:rsidRDefault="00F15270" w:rsidP="009378A9">
      <w:pPr>
        <w:tabs>
          <w:tab w:val="left" w:pos="206"/>
        </w:tabs>
        <w:rPr>
          <w:rFonts w:ascii="David" w:hAnsi="David" w:cs="David"/>
          <w:rtl/>
        </w:rPr>
      </w:pPr>
    </w:p>
    <w:p w14:paraId="7BC5F812" w14:textId="77777777" w:rsidR="00E7190C" w:rsidRPr="00695533" w:rsidRDefault="00D37EFB" w:rsidP="002C3403">
      <w:pPr>
        <w:pStyle w:val="a7"/>
        <w:numPr>
          <w:ilvl w:val="1"/>
          <w:numId w:val="28"/>
        </w:numPr>
        <w:tabs>
          <w:tab w:val="left" w:pos="206"/>
        </w:tabs>
        <w:spacing w:after="0" w:line="240" w:lineRule="auto"/>
        <w:ind w:right="0"/>
        <w:rPr>
          <w:szCs w:val="24"/>
        </w:rPr>
      </w:pPr>
      <w:r w:rsidRPr="00695533">
        <w:rPr>
          <w:szCs w:val="24"/>
          <w:rtl/>
        </w:rPr>
        <w:t>סכומים ששולמו לבעל תפקיד מרכזי יהיו ברי השבה למשך תקופה של חמש שנים ממועד הענקת הרכיב המשתנה, לרבות לגבי רכיבים נדחים (להלן: "תקופת ההשבה</w:t>
      </w:r>
      <w:r w:rsidR="00F348B4" w:rsidRPr="00695533">
        <w:rPr>
          <w:szCs w:val="24"/>
          <w:rtl/>
        </w:rPr>
        <w:t xml:space="preserve">") </w:t>
      </w:r>
      <w:r w:rsidRPr="00695533">
        <w:rPr>
          <w:szCs w:val="24"/>
          <w:rtl/>
        </w:rPr>
        <w:t>ואולם, תקופת ההשבה לגבי רכיב משתנה ששולם לנושא משרה כהגדרתו בחוק החברות, תוארך בשנתיים נוספות, אם במהלך תקופת ההשבה קבעה ועדת תגמול כי התקיימו נסיבות המחייבות השבה, כמפורט להלן:</w:t>
      </w:r>
      <w:r w:rsidR="00F348B4" w:rsidRPr="00695533">
        <w:rPr>
          <w:szCs w:val="24"/>
          <w:rtl/>
        </w:rPr>
        <w:t xml:space="preserve"> (1)</w:t>
      </w:r>
      <w:r w:rsidRPr="00695533">
        <w:rPr>
          <w:szCs w:val="24"/>
          <w:rtl/>
        </w:rPr>
        <w:t xml:space="preserve"> </w:t>
      </w:r>
      <w:r w:rsidR="00F15270" w:rsidRPr="00695533">
        <w:rPr>
          <w:szCs w:val="24"/>
          <w:rtl/>
        </w:rPr>
        <w:t>החברה</w:t>
      </w:r>
      <w:r w:rsidRPr="00695533">
        <w:rPr>
          <w:szCs w:val="24"/>
          <w:rtl/>
        </w:rPr>
        <w:t xml:space="preserve"> פתחה בהליך בירור פנימי לגבי כשל מהותי;</w:t>
      </w:r>
      <w:r w:rsidR="00F348B4" w:rsidRPr="00695533">
        <w:rPr>
          <w:szCs w:val="24"/>
          <w:rtl/>
        </w:rPr>
        <w:t xml:space="preserve"> (2)</w:t>
      </w:r>
      <w:r w:rsidR="00602A82" w:rsidRPr="00695533">
        <w:rPr>
          <w:szCs w:val="24"/>
          <w:rtl/>
        </w:rPr>
        <w:t xml:space="preserve"> אם </w:t>
      </w:r>
      <w:r w:rsidRPr="00695533">
        <w:rPr>
          <w:szCs w:val="24"/>
          <w:rtl/>
        </w:rPr>
        <w:t xml:space="preserve">נודע </w:t>
      </w:r>
      <w:r w:rsidR="00BD54C5" w:rsidRPr="00695533">
        <w:rPr>
          <w:szCs w:val="24"/>
          <w:rtl/>
        </w:rPr>
        <w:t>לחברה</w:t>
      </w:r>
      <w:r w:rsidRPr="00695533">
        <w:rPr>
          <w:szCs w:val="24"/>
          <w:rtl/>
        </w:rPr>
        <w:t xml:space="preserve"> שרשות מוסמכת, לרבות</w:t>
      </w:r>
      <w:r w:rsidR="007C2B43" w:rsidRPr="00695533">
        <w:rPr>
          <w:szCs w:val="24"/>
          <w:rtl/>
        </w:rPr>
        <w:t xml:space="preserve"> רשות מוסמכת מחוץ לישראל, פתחה </w:t>
      </w:r>
      <w:r w:rsidRPr="00695533">
        <w:rPr>
          <w:szCs w:val="24"/>
          <w:rtl/>
        </w:rPr>
        <w:t xml:space="preserve">בהליך בירור מנהלי או חקירה פלילית כנגד </w:t>
      </w:r>
      <w:r w:rsidR="00BD54C5" w:rsidRPr="00695533">
        <w:rPr>
          <w:szCs w:val="24"/>
          <w:rtl/>
        </w:rPr>
        <w:t>החברה</w:t>
      </w:r>
      <w:r w:rsidRPr="00695533">
        <w:rPr>
          <w:szCs w:val="24"/>
          <w:rtl/>
        </w:rPr>
        <w:t xml:space="preserve"> או נושאי משרה </w:t>
      </w:r>
      <w:r w:rsidR="00BD54C5" w:rsidRPr="00695533">
        <w:rPr>
          <w:szCs w:val="24"/>
          <w:rtl/>
        </w:rPr>
        <w:t>בה</w:t>
      </w:r>
      <w:r w:rsidRPr="00695533">
        <w:rPr>
          <w:szCs w:val="24"/>
          <w:rtl/>
        </w:rPr>
        <w:t>.</w:t>
      </w:r>
    </w:p>
    <w:p w14:paraId="74CABB14" w14:textId="77777777" w:rsidR="0022179D" w:rsidRPr="00695533" w:rsidRDefault="0022179D" w:rsidP="009378A9">
      <w:pPr>
        <w:tabs>
          <w:tab w:val="left" w:pos="206"/>
        </w:tabs>
        <w:rPr>
          <w:rFonts w:ascii="David" w:hAnsi="David" w:cs="David"/>
          <w:rtl/>
        </w:rPr>
      </w:pPr>
    </w:p>
    <w:p w14:paraId="2077E7E0" w14:textId="10A2DB4E" w:rsidR="00E7190C" w:rsidRPr="00695533" w:rsidRDefault="00E7190C" w:rsidP="002C3403">
      <w:pPr>
        <w:pStyle w:val="a7"/>
        <w:numPr>
          <w:ilvl w:val="1"/>
          <w:numId w:val="28"/>
        </w:numPr>
        <w:tabs>
          <w:tab w:val="left" w:pos="206"/>
        </w:tabs>
        <w:spacing w:after="0" w:line="240" w:lineRule="auto"/>
        <w:ind w:right="0"/>
        <w:rPr>
          <w:szCs w:val="24"/>
          <w:u w:val="single"/>
        </w:rPr>
      </w:pPr>
      <w:r w:rsidRPr="00695533">
        <w:rPr>
          <w:szCs w:val="24"/>
          <w:u w:val="single"/>
          <w:rtl/>
        </w:rPr>
        <w:t>דיווח לממונה</w:t>
      </w:r>
    </w:p>
    <w:p w14:paraId="52C3FB47" w14:textId="77777777" w:rsidR="0023089A" w:rsidRPr="00695533" w:rsidRDefault="0023089A" w:rsidP="0023089A">
      <w:pPr>
        <w:tabs>
          <w:tab w:val="left" w:pos="206"/>
        </w:tabs>
        <w:rPr>
          <w:rFonts w:ascii="David" w:hAnsi="David" w:cs="David"/>
          <w:u w:val="single"/>
          <w:rtl/>
        </w:rPr>
      </w:pPr>
    </w:p>
    <w:p w14:paraId="33074EB9" w14:textId="77777777" w:rsidR="0022179D" w:rsidRPr="00695533" w:rsidRDefault="00E7190C" w:rsidP="009378A9">
      <w:pPr>
        <w:pStyle w:val="a7"/>
        <w:numPr>
          <w:ilvl w:val="2"/>
          <w:numId w:val="2"/>
        </w:numPr>
        <w:tabs>
          <w:tab w:val="left" w:pos="206"/>
        </w:tabs>
        <w:spacing w:after="0" w:line="240" w:lineRule="auto"/>
        <w:ind w:right="0"/>
        <w:rPr>
          <w:szCs w:val="24"/>
        </w:rPr>
      </w:pPr>
      <w:r w:rsidRPr="00695533">
        <w:rPr>
          <w:szCs w:val="24"/>
          <w:rtl/>
        </w:rPr>
        <w:t>הנהלת ה</w:t>
      </w:r>
      <w:r w:rsidR="00BD54C5" w:rsidRPr="00695533">
        <w:rPr>
          <w:szCs w:val="24"/>
          <w:rtl/>
        </w:rPr>
        <w:t>חברה</w:t>
      </w:r>
      <w:r w:rsidRPr="00695533">
        <w:rPr>
          <w:szCs w:val="24"/>
          <w:rtl/>
        </w:rPr>
        <w:t xml:space="preserve"> תדווח לממונה, על התקיימות נסיבות להשבה לפי </w:t>
      </w:r>
      <w:r w:rsidR="0022179D" w:rsidRPr="00695533">
        <w:rPr>
          <w:szCs w:val="24"/>
          <w:rtl/>
        </w:rPr>
        <w:t xml:space="preserve">סעיף 11.1 </w:t>
      </w:r>
      <w:r w:rsidRPr="00695533">
        <w:rPr>
          <w:szCs w:val="24"/>
          <w:rtl/>
        </w:rPr>
        <w:t>לעיל, בתוך 30 ימי עסקים ממועד הקביעה. לדיווח יצורף פרוטוקול ועדת תגמול.</w:t>
      </w:r>
    </w:p>
    <w:p w14:paraId="3A63DA96" w14:textId="04CF7F9B" w:rsidR="00E7190C" w:rsidRPr="00695533" w:rsidRDefault="00E7190C" w:rsidP="009378A9">
      <w:pPr>
        <w:pStyle w:val="a7"/>
        <w:numPr>
          <w:ilvl w:val="2"/>
          <w:numId w:val="2"/>
        </w:numPr>
        <w:tabs>
          <w:tab w:val="left" w:pos="206"/>
        </w:tabs>
        <w:spacing w:after="0" w:line="240" w:lineRule="auto"/>
        <w:ind w:right="0"/>
        <w:rPr>
          <w:szCs w:val="24"/>
        </w:rPr>
      </w:pPr>
      <w:r w:rsidRPr="00695533">
        <w:rPr>
          <w:szCs w:val="24"/>
          <w:rtl/>
        </w:rPr>
        <w:t>הנהלת ה</w:t>
      </w:r>
      <w:r w:rsidR="00BD54C5" w:rsidRPr="00695533">
        <w:rPr>
          <w:szCs w:val="24"/>
          <w:rtl/>
        </w:rPr>
        <w:t>חברה</w:t>
      </w:r>
      <w:r w:rsidRPr="00695533">
        <w:rPr>
          <w:szCs w:val="24"/>
          <w:rtl/>
        </w:rPr>
        <w:t xml:space="preserve"> תדווח לממונה בתום כל שנה </w:t>
      </w:r>
      <w:proofErr w:type="spellStart"/>
      <w:r w:rsidRPr="00695533">
        <w:rPr>
          <w:szCs w:val="24"/>
          <w:rtl/>
        </w:rPr>
        <w:t>קלנדארית</w:t>
      </w:r>
      <w:proofErr w:type="spellEnd"/>
      <w:r w:rsidRPr="00695533">
        <w:rPr>
          <w:szCs w:val="24"/>
          <w:rtl/>
        </w:rPr>
        <w:t xml:space="preserve"> על אמצעים שננקטו על ידה להשבת סכומים ועל סכומים שהושבו, ככל שננקטו או הושבו, לפי העניין. </w:t>
      </w:r>
      <w:r w:rsidRPr="00695533">
        <w:rPr>
          <w:szCs w:val="24"/>
          <w:rtl/>
        </w:rPr>
        <w:lastRenderedPageBreak/>
        <w:t>במידה שלא התקיימו לגבי בעלי תפקיד מרכזי בו נסיבות להשבה אין חובת דיווח כאמור.</w:t>
      </w:r>
    </w:p>
    <w:p w14:paraId="23C57BFE" w14:textId="77777777" w:rsidR="00E7190C" w:rsidRPr="00695533" w:rsidRDefault="00E7190C" w:rsidP="009378A9">
      <w:pPr>
        <w:pStyle w:val="a7"/>
        <w:numPr>
          <w:ilvl w:val="2"/>
          <w:numId w:val="2"/>
        </w:numPr>
        <w:tabs>
          <w:tab w:val="left" w:pos="206"/>
        </w:tabs>
        <w:spacing w:after="0" w:line="240" w:lineRule="auto"/>
        <w:ind w:right="0"/>
        <w:rPr>
          <w:color w:val="0070C0"/>
          <w:rtl/>
        </w:rPr>
      </w:pPr>
      <w:r w:rsidRPr="00695533">
        <w:rPr>
          <w:szCs w:val="24"/>
          <w:rtl/>
        </w:rPr>
        <w:t xml:space="preserve">על אף האמור לעיל, כאשר סך התגמול המשתנה שהוענק לבעל תפקיד מרכזי בגין שנה </w:t>
      </w:r>
      <w:proofErr w:type="spellStart"/>
      <w:r w:rsidRPr="00695533">
        <w:rPr>
          <w:szCs w:val="24"/>
          <w:rtl/>
        </w:rPr>
        <w:t>קלנדארית</w:t>
      </w:r>
      <w:proofErr w:type="spellEnd"/>
      <w:r w:rsidRPr="00695533">
        <w:rPr>
          <w:szCs w:val="24"/>
          <w:rtl/>
        </w:rPr>
        <w:t xml:space="preserve"> אינו עולה על 1/6 מהרכיב הקבוע באותה שנה, אין חובה להפעיל על הרכיב המשתנה בגין אותה שנה את מנגנון ההשבה.</w:t>
      </w:r>
      <w:r w:rsidR="00F348B4" w:rsidRPr="00695533">
        <w:rPr>
          <w:color w:val="0070C0"/>
          <w:rtl/>
        </w:rPr>
        <w:t xml:space="preserve"> </w:t>
      </w:r>
    </w:p>
    <w:p w14:paraId="6A328E65" w14:textId="77777777" w:rsidR="00223701" w:rsidRPr="00695533" w:rsidRDefault="00223701" w:rsidP="00962AD9">
      <w:pPr>
        <w:numPr>
          <w:ilvl w:val="0"/>
          <w:numId w:val="1"/>
        </w:numPr>
        <w:tabs>
          <w:tab w:val="left" w:pos="206"/>
        </w:tabs>
        <w:spacing w:before="240" w:after="120"/>
        <w:ind w:left="204" w:hanging="357"/>
        <w:jc w:val="both"/>
        <w:rPr>
          <w:rFonts w:ascii="David" w:hAnsi="David" w:cs="David"/>
          <w:b/>
          <w:bCs/>
          <w:sz w:val="28"/>
          <w:szCs w:val="28"/>
          <w:u w:val="single"/>
        </w:rPr>
      </w:pPr>
      <w:r w:rsidRPr="00695533">
        <w:rPr>
          <w:rFonts w:ascii="David" w:hAnsi="David" w:cs="David"/>
          <w:b/>
          <w:bCs/>
          <w:sz w:val="28"/>
          <w:szCs w:val="28"/>
          <w:u w:val="single"/>
          <w:rtl/>
        </w:rPr>
        <w:t xml:space="preserve">הוראות כלליות </w:t>
      </w:r>
    </w:p>
    <w:p w14:paraId="308DB1B4" w14:textId="77777777" w:rsidR="00177658" w:rsidRPr="00695533" w:rsidRDefault="00177658" w:rsidP="002C3403">
      <w:pPr>
        <w:pStyle w:val="a7"/>
        <w:numPr>
          <w:ilvl w:val="0"/>
          <w:numId w:val="28"/>
        </w:numPr>
        <w:tabs>
          <w:tab w:val="left" w:pos="206"/>
        </w:tabs>
        <w:spacing w:after="0" w:line="240" w:lineRule="auto"/>
        <w:ind w:right="0"/>
        <w:rPr>
          <w:vanish/>
          <w:szCs w:val="24"/>
          <w:rtl/>
        </w:rPr>
      </w:pPr>
    </w:p>
    <w:p w14:paraId="46E70747" w14:textId="58C7D578" w:rsidR="00223701" w:rsidRPr="00D97166" w:rsidRDefault="00223701" w:rsidP="00D97166">
      <w:pPr>
        <w:pStyle w:val="a7"/>
        <w:numPr>
          <w:ilvl w:val="1"/>
          <w:numId w:val="28"/>
        </w:numPr>
        <w:tabs>
          <w:tab w:val="left" w:pos="206"/>
        </w:tabs>
        <w:spacing w:after="0"/>
        <w:ind w:right="0" w:hanging="517"/>
        <w:rPr>
          <w:szCs w:val="24"/>
        </w:rPr>
      </w:pPr>
      <w:r w:rsidRPr="00D97166">
        <w:rPr>
          <w:szCs w:val="24"/>
          <w:rtl/>
        </w:rPr>
        <w:t xml:space="preserve">מדיניות התגמול תהיה בתוקף למשך </w:t>
      </w:r>
      <w:r w:rsidRPr="00D97166">
        <w:rPr>
          <w:szCs w:val="24"/>
        </w:rPr>
        <w:t>3</w:t>
      </w:r>
      <w:r w:rsidRPr="00D97166">
        <w:rPr>
          <w:szCs w:val="24"/>
          <w:rtl/>
        </w:rPr>
        <w:t xml:space="preserve"> שנים ממועד אישורה ואחת לשלוש</w:t>
      </w:r>
      <w:r w:rsidR="00D97166">
        <w:rPr>
          <w:rFonts w:hint="cs"/>
          <w:szCs w:val="24"/>
          <w:rtl/>
        </w:rPr>
        <w:t xml:space="preserve"> </w:t>
      </w:r>
      <w:r w:rsidRPr="00D97166">
        <w:rPr>
          <w:szCs w:val="24"/>
          <w:rtl/>
        </w:rPr>
        <w:t>שנים לפחות תובא מדיניות התגמול לאישור האורגנים המוסמכים בחברה.</w:t>
      </w:r>
    </w:p>
    <w:p w14:paraId="280F142C" w14:textId="77777777" w:rsidR="00223701" w:rsidRPr="00695533" w:rsidRDefault="00223701" w:rsidP="00223701">
      <w:pPr>
        <w:pStyle w:val="a7"/>
        <w:tabs>
          <w:tab w:val="left" w:pos="206"/>
        </w:tabs>
        <w:spacing w:after="0" w:line="240" w:lineRule="auto"/>
        <w:ind w:right="0" w:firstLine="0"/>
        <w:rPr>
          <w:szCs w:val="24"/>
        </w:rPr>
      </w:pPr>
    </w:p>
    <w:p w14:paraId="6585AC9B" w14:textId="77777777" w:rsidR="00223701" w:rsidRPr="00695533" w:rsidRDefault="00223701" w:rsidP="002C3403">
      <w:pPr>
        <w:pStyle w:val="a7"/>
        <w:numPr>
          <w:ilvl w:val="1"/>
          <w:numId w:val="28"/>
        </w:numPr>
        <w:tabs>
          <w:tab w:val="left" w:pos="206"/>
        </w:tabs>
        <w:spacing w:after="0" w:line="240" w:lineRule="auto"/>
        <w:ind w:right="0" w:hanging="494"/>
        <w:rPr>
          <w:szCs w:val="24"/>
        </w:rPr>
      </w:pPr>
      <w:r w:rsidRPr="00695533">
        <w:rPr>
          <w:szCs w:val="24"/>
          <w:rtl/>
        </w:rPr>
        <w:t xml:space="preserve">ועדת התגמול והדירקטוריון יבחנו, מעת לעת, ולפחות אחת לשנה, את יישומה של מדיניות התגמול וכן את הצורך בהתאמתה ועדכונה, אם חל שינוי מהותי בנסיבות שהיו קיימות בעת קביעתה או מטעמים אחרים. שינויים במדיניות התגמול, ככל שיהיו, יאושרו בהתאם להוראות הדין. </w:t>
      </w:r>
    </w:p>
    <w:p w14:paraId="543BA13B" w14:textId="77777777" w:rsidR="00852104" w:rsidRPr="00695533" w:rsidRDefault="00852104" w:rsidP="009378A9">
      <w:pPr>
        <w:pStyle w:val="a7"/>
        <w:rPr>
          <w:szCs w:val="24"/>
          <w:rtl/>
        </w:rPr>
      </w:pPr>
    </w:p>
    <w:p w14:paraId="0EA535FE" w14:textId="77777777" w:rsidR="00852104" w:rsidRPr="00695533" w:rsidRDefault="00852104" w:rsidP="002C3403">
      <w:pPr>
        <w:pStyle w:val="a7"/>
        <w:numPr>
          <w:ilvl w:val="1"/>
          <w:numId w:val="28"/>
        </w:numPr>
        <w:tabs>
          <w:tab w:val="left" w:pos="206"/>
        </w:tabs>
        <w:spacing w:after="0" w:line="240" w:lineRule="auto"/>
        <w:ind w:right="0" w:hanging="494"/>
        <w:rPr>
          <w:szCs w:val="24"/>
        </w:rPr>
      </w:pPr>
      <w:r w:rsidRPr="00695533">
        <w:rPr>
          <w:szCs w:val="24"/>
          <w:rtl/>
        </w:rPr>
        <w:t>החברה תביא לידיעת עובדיה את העקרונות המרכזיים של מדינות התגמול</w:t>
      </w:r>
      <w:r w:rsidR="00E53E52" w:rsidRPr="00695533">
        <w:rPr>
          <w:szCs w:val="24"/>
          <w:rtl/>
        </w:rPr>
        <w:t>.</w:t>
      </w:r>
    </w:p>
    <w:p w14:paraId="731517C7" w14:textId="77777777" w:rsidR="00223701" w:rsidRPr="00695533" w:rsidRDefault="00223701" w:rsidP="00223701">
      <w:pPr>
        <w:pStyle w:val="a7"/>
        <w:tabs>
          <w:tab w:val="left" w:pos="206"/>
        </w:tabs>
        <w:spacing w:after="0" w:line="240" w:lineRule="auto"/>
        <w:ind w:right="0" w:firstLine="0"/>
        <w:rPr>
          <w:szCs w:val="24"/>
        </w:rPr>
      </w:pPr>
    </w:p>
    <w:p w14:paraId="0B3E2A94" w14:textId="77777777" w:rsidR="00223701" w:rsidRPr="00695533" w:rsidRDefault="00223701" w:rsidP="002C3403">
      <w:pPr>
        <w:pStyle w:val="a7"/>
        <w:numPr>
          <w:ilvl w:val="1"/>
          <w:numId w:val="28"/>
        </w:numPr>
        <w:tabs>
          <w:tab w:val="left" w:pos="206"/>
        </w:tabs>
        <w:spacing w:after="0" w:line="240" w:lineRule="auto"/>
        <w:ind w:right="0" w:hanging="494"/>
        <w:rPr>
          <w:szCs w:val="24"/>
        </w:rPr>
      </w:pPr>
      <w:r w:rsidRPr="00695533">
        <w:rPr>
          <w:szCs w:val="24"/>
          <w:rtl/>
        </w:rPr>
        <w:t xml:space="preserve">יודגש, כי מסמך זה מהווה מסמך מדיניות וקווים מנחים ולפיכך אין בו כדי להקים כל זכות לעובדים, לנושאי משרה ו/או לכל צד שלישי אחר, ובכלל כך לא תהיה למי מהם זכות לטעון כלפי החברה כי היא חייבת לפעול על פי מדיניות התגמול. ההוראות הקבועות בהסכמי העסקה, הסכמים קיבוציים </w:t>
      </w:r>
      <w:proofErr w:type="spellStart"/>
      <w:r w:rsidRPr="00695533">
        <w:rPr>
          <w:szCs w:val="24"/>
          <w:rtl/>
        </w:rPr>
        <w:t>ותכניות</w:t>
      </w:r>
      <w:proofErr w:type="spellEnd"/>
      <w:r w:rsidRPr="00695533">
        <w:rPr>
          <w:szCs w:val="24"/>
          <w:rtl/>
        </w:rPr>
        <w:t xml:space="preserve"> התגמול האישיות שאושרו כדין גוברות על הוראות מדיניות התגמול.</w:t>
      </w:r>
    </w:p>
    <w:p w14:paraId="6AF417DA" w14:textId="77777777" w:rsidR="00223701" w:rsidRPr="00695533" w:rsidRDefault="00223701" w:rsidP="00223701">
      <w:pPr>
        <w:pStyle w:val="a7"/>
        <w:tabs>
          <w:tab w:val="left" w:pos="206"/>
        </w:tabs>
        <w:spacing w:after="0" w:line="240" w:lineRule="auto"/>
        <w:ind w:right="0" w:firstLine="0"/>
        <w:rPr>
          <w:szCs w:val="24"/>
        </w:rPr>
      </w:pPr>
    </w:p>
    <w:p w14:paraId="3143E6DB" w14:textId="77777777" w:rsidR="00223701" w:rsidRPr="00695533" w:rsidRDefault="00223701" w:rsidP="002C3403">
      <w:pPr>
        <w:pStyle w:val="a7"/>
        <w:numPr>
          <w:ilvl w:val="1"/>
          <w:numId w:val="28"/>
        </w:numPr>
        <w:tabs>
          <w:tab w:val="left" w:pos="206"/>
        </w:tabs>
        <w:spacing w:after="0" w:line="240" w:lineRule="auto"/>
        <w:ind w:right="0" w:hanging="494"/>
        <w:rPr>
          <w:szCs w:val="24"/>
        </w:rPr>
      </w:pPr>
      <w:r w:rsidRPr="00695533">
        <w:rPr>
          <w:szCs w:val="24"/>
          <w:rtl/>
        </w:rPr>
        <w:t xml:space="preserve">יובהר כי יישום מדיניות תגמול זו יעשה בכפוף לכך שלא יהיה בכך משום הפרה של הוראות דיני העבודה בדגש על חוקי הגנת השכר, </w:t>
      </w:r>
      <w:r w:rsidR="007B64E3" w:rsidRPr="00695533">
        <w:rPr>
          <w:szCs w:val="24"/>
          <w:rtl/>
        </w:rPr>
        <w:t xml:space="preserve">הנחיות רשות החברות הממשלתיות וכן </w:t>
      </w:r>
      <w:r w:rsidRPr="00695533">
        <w:rPr>
          <w:szCs w:val="24"/>
          <w:rtl/>
        </w:rPr>
        <w:t xml:space="preserve"> הכרעות של בית המשפט במקרים פרטניים או אישורים שניתנו על ידו.</w:t>
      </w:r>
    </w:p>
    <w:p w14:paraId="14FC1F53" w14:textId="77777777" w:rsidR="00223701" w:rsidRPr="00695533" w:rsidRDefault="00223701" w:rsidP="00223701">
      <w:pPr>
        <w:pStyle w:val="a7"/>
        <w:tabs>
          <w:tab w:val="left" w:pos="206"/>
        </w:tabs>
        <w:spacing w:after="0" w:line="240" w:lineRule="auto"/>
        <w:ind w:right="0" w:firstLine="0"/>
        <w:rPr>
          <w:szCs w:val="24"/>
        </w:rPr>
      </w:pPr>
    </w:p>
    <w:p w14:paraId="274A7CBC" w14:textId="77777777" w:rsidR="00223701" w:rsidRPr="00695533" w:rsidRDefault="00223701" w:rsidP="002C3403">
      <w:pPr>
        <w:pStyle w:val="a7"/>
        <w:numPr>
          <w:ilvl w:val="1"/>
          <w:numId w:val="28"/>
        </w:numPr>
        <w:tabs>
          <w:tab w:val="left" w:pos="206"/>
        </w:tabs>
        <w:spacing w:after="0" w:line="240" w:lineRule="auto"/>
        <w:ind w:right="0" w:hanging="494"/>
        <w:rPr>
          <w:szCs w:val="24"/>
        </w:rPr>
      </w:pPr>
      <w:r w:rsidRPr="00695533">
        <w:rPr>
          <w:szCs w:val="24"/>
          <w:rtl/>
        </w:rPr>
        <w:t xml:space="preserve">מדיניות תגמול זו תגובה בנהלים אשר יכללו תיאור של הגורמים המעורבים בתהליך התכנון, האישור, והניטור של המדיניות ושל הסכמי התגמול. </w:t>
      </w:r>
    </w:p>
    <w:p w14:paraId="6F9FFA02" w14:textId="77777777" w:rsidR="008553E2" w:rsidRPr="00695533" w:rsidRDefault="008553E2" w:rsidP="009378A9">
      <w:pPr>
        <w:numPr>
          <w:ilvl w:val="0"/>
          <w:numId w:val="1"/>
        </w:numPr>
        <w:tabs>
          <w:tab w:val="left" w:pos="206"/>
        </w:tabs>
        <w:spacing w:before="240" w:after="120"/>
        <w:ind w:left="204" w:hanging="357"/>
        <w:jc w:val="both"/>
        <w:rPr>
          <w:rFonts w:ascii="David" w:hAnsi="David" w:cs="David"/>
          <w:b/>
          <w:bCs/>
          <w:sz w:val="28"/>
          <w:szCs w:val="28"/>
          <w:u w:val="single"/>
          <w:rtl/>
        </w:rPr>
      </w:pPr>
      <w:r w:rsidRPr="00695533">
        <w:rPr>
          <w:rFonts w:ascii="David" w:hAnsi="David" w:cs="David"/>
          <w:b/>
          <w:bCs/>
          <w:sz w:val="28"/>
          <w:szCs w:val="28"/>
          <w:u w:val="single"/>
          <w:rtl/>
        </w:rPr>
        <w:t>תחולה</w:t>
      </w:r>
    </w:p>
    <w:p w14:paraId="67470407" w14:textId="77777777" w:rsidR="00177658" w:rsidRPr="00695533" w:rsidRDefault="00177658" w:rsidP="002C3403">
      <w:pPr>
        <w:pStyle w:val="a7"/>
        <w:numPr>
          <w:ilvl w:val="0"/>
          <w:numId w:val="28"/>
        </w:numPr>
        <w:tabs>
          <w:tab w:val="left" w:pos="206"/>
        </w:tabs>
        <w:spacing w:after="0" w:line="240" w:lineRule="auto"/>
        <w:ind w:right="0"/>
        <w:rPr>
          <w:vanish/>
          <w:szCs w:val="24"/>
          <w:rtl/>
        </w:rPr>
      </w:pPr>
    </w:p>
    <w:p w14:paraId="2A727090" w14:textId="77777777" w:rsidR="0082140E" w:rsidRPr="00695533" w:rsidRDefault="00A81A72" w:rsidP="002C3403">
      <w:pPr>
        <w:pStyle w:val="a7"/>
        <w:numPr>
          <w:ilvl w:val="1"/>
          <w:numId w:val="28"/>
        </w:numPr>
        <w:tabs>
          <w:tab w:val="left" w:pos="206"/>
        </w:tabs>
        <w:spacing w:after="0" w:line="240" w:lineRule="auto"/>
        <w:ind w:right="0" w:hanging="494"/>
        <w:rPr>
          <w:szCs w:val="24"/>
          <w:rtl/>
        </w:rPr>
      </w:pPr>
      <w:r w:rsidRPr="00695533">
        <w:rPr>
          <w:szCs w:val="24"/>
          <w:rtl/>
        </w:rPr>
        <w:t>תחילתן של הוראות מדיניות אלו מיום פרסומן והן יחולו על הסכם תגמול שאושר מיום התחילה ואילך, לרבות הארכה או שינוי של הסכם תגמול קיי</w:t>
      </w:r>
      <w:r w:rsidR="00FB546F" w:rsidRPr="00695533">
        <w:rPr>
          <w:szCs w:val="24"/>
          <w:rtl/>
        </w:rPr>
        <w:t>ם.</w:t>
      </w:r>
      <w:r w:rsidR="002459C8" w:rsidRPr="00695533">
        <w:rPr>
          <w:rtl/>
        </w:rPr>
        <w:footnoteReference w:id="2"/>
      </w:r>
    </w:p>
    <w:p w14:paraId="03550CFF" w14:textId="77777777" w:rsidR="0082140E" w:rsidRPr="00695533" w:rsidRDefault="0082140E" w:rsidP="002C3403">
      <w:pPr>
        <w:pStyle w:val="a7"/>
        <w:numPr>
          <w:ilvl w:val="1"/>
          <w:numId w:val="28"/>
        </w:numPr>
        <w:tabs>
          <w:tab w:val="left" w:pos="206"/>
        </w:tabs>
        <w:spacing w:after="0" w:line="240" w:lineRule="auto"/>
        <w:ind w:right="0" w:hanging="494"/>
        <w:rPr>
          <w:szCs w:val="24"/>
          <w:rtl/>
        </w:rPr>
      </w:pPr>
      <w:r w:rsidRPr="00695533">
        <w:rPr>
          <w:szCs w:val="24"/>
          <w:rtl/>
        </w:rPr>
        <w:t xml:space="preserve">הסכמי תגמול שאושרו לפני יום התחילה יותאמו להוראות תיקון זה עד ליום 31 בדצמבר 2017. </w:t>
      </w:r>
    </w:p>
    <w:p w14:paraId="03AB1117" w14:textId="77777777" w:rsidR="00503247" w:rsidRDefault="00503247" w:rsidP="00223701">
      <w:pPr>
        <w:pStyle w:val="a5"/>
        <w:tabs>
          <w:tab w:val="clear" w:pos="4153"/>
          <w:tab w:val="left" w:pos="3806"/>
          <w:tab w:val="center" w:pos="5606"/>
        </w:tabs>
        <w:jc w:val="both"/>
        <w:rPr>
          <w:rFonts w:ascii="David" w:hAnsi="David" w:cs="David"/>
          <w:sz w:val="24"/>
          <w:szCs w:val="24"/>
          <w:rtl/>
        </w:rPr>
      </w:pPr>
    </w:p>
    <w:p w14:paraId="111EEFE7" w14:textId="3E37F47C" w:rsidR="0072049E" w:rsidRPr="00503247" w:rsidRDefault="00503247" w:rsidP="00223701">
      <w:pPr>
        <w:pStyle w:val="a5"/>
        <w:tabs>
          <w:tab w:val="clear" w:pos="4153"/>
          <w:tab w:val="left" w:pos="3806"/>
          <w:tab w:val="center" w:pos="5606"/>
        </w:tabs>
        <w:jc w:val="both"/>
        <w:rPr>
          <w:rFonts w:ascii="David" w:hAnsi="David" w:cs="David"/>
          <w:b/>
          <w:bCs/>
          <w:color w:val="0070C0"/>
          <w:sz w:val="24"/>
          <w:szCs w:val="24"/>
          <w:rtl/>
        </w:rPr>
      </w:pPr>
      <w:r w:rsidRPr="00503247">
        <w:rPr>
          <w:rFonts w:ascii="David" w:hAnsi="David" w:cs="David" w:hint="cs"/>
          <w:b/>
          <w:bCs/>
          <w:color w:val="0070C0"/>
          <w:sz w:val="24"/>
          <w:szCs w:val="24"/>
          <w:rtl/>
        </w:rPr>
        <w:t>ב'1</w:t>
      </w:r>
    </w:p>
    <w:p w14:paraId="2DE84E35" w14:textId="4C0DF476" w:rsidR="00223701" w:rsidRPr="002C3403" w:rsidRDefault="00223701" w:rsidP="00C425E4">
      <w:pPr>
        <w:pStyle w:val="a5"/>
        <w:tabs>
          <w:tab w:val="clear" w:pos="4153"/>
          <w:tab w:val="left" w:pos="3806"/>
          <w:tab w:val="center" w:pos="5606"/>
        </w:tabs>
        <w:jc w:val="both"/>
        <w:rPr>
          <w:rFonts w:ascii="David" w:hAnsi="David" w:cs="David"/>
          <w:b/>
          <w:bCs/>
          <w:color w:val="0070C0"/>
          <w:sz w:val="24"/>
          <w:szCs w:val="24"/>
          <w:rtl/>
        </w:rPr>
      </w:pPr>
      <w:r w:rsidRPr="002C3403">
        <w:rPr>
          <w:rFonts w:ascii="David" w:hAnsi="David" w:cs="David"/>
          <w:b/>
          <w:bCs/>
          <w:color w:val="0070C0"/>
          <w:sz w:val="24"/>
          <w:szCs w:val="24"/>
          <w:rtl/>
        </w:rPr>
        <w:t xml:space="preserve">אושר בוועדת הביקורת/ ועדת תגמול מס' 4/2014 </w:t>
      </w:r>
      <w:r w:rsidR="00C425E4" w:rsidRPr="002C3403">
        <w:rPr>
          <w:rFonts w:ascii="David" w:hAnsi="David" w:cs="David"/>
          <w:b/>
          <w:bCs/>
          <w:color w:val="0070C0"/>
          <w:sz w:val="24"/>
          <w:szCs w:val="24"/>
          <w:rtl/>
        </w:rPr>
        <w:t>מ</w:t>
      </w:r>
      <w:r w:rsidRPr="002C3403">
        <w:rPr>
          <w:rFonts w:ascii="David" w:hAnsi="David" w:cs="David"/>
          <w:b/>
          <w:bCs/>
          <w:color w:val="0070C0"/>
          <w:sz w:val="24"/>
          <w:szCs w:val="24"/>
          <w:rtl/>
        </w:rPr>
        <w:t>יום 04/08/14</w:t>
      </w:r>
    </w:p>
    <w:p w14:paraId="440D0FDC" w14:textId="27F8DD78" w:rsidR="00223701" w:rsidRPr="002C3403" w:rsidRDefault="00223701" w:rsidP="00C425E4">
      <w:pPr>
        <w:pStyle w:val="a5"/>
        <w:tabs>
          <w:tab w:val="clear" w:pos="4153"/>
          <w:tab w:val="left" w:pos="3806"/>
          <w:tab w:val="center" w:pos="5606"/>
        </w:tabs>
        <w:jc w:val="both"/>
        <w:rPr>
          <w:rFonts w:ascii="David" w:hAnsi="David" w:cs="David"/>
          <w:b/>
          <w:bCs/>
          <w:color w:val="0070C0"/>
          <w:sz w:val="24"/>
          <w:szCs w:val="24"/>
          <w:rtl/>
        </w:rPr>
      </w:pPr>
      <w:r w:rsidRPr="002C3403">
        <w:rPr>
          <w:rFonts w:ascii="David" w:hAnsi="David" w:cs="David"/>
          <w:b/>
          <w:bCs/>
          <w:color w:val="0070C0"/>
          <w:sz w:val="24"/>
          <w:szCs w:val="24"/>
          <w:rtl/>
        </w:rPr>
        <w:t xml:space="preserve">אושר בישיבת הדירקטוריון מס' 5/2014 </w:t>
      </w:r>
      <w:r w:rsidR="00C425E4" w:rsidRPr="002C3403">
        <w:rPr>
          <w:rFonts w:ascii="David" w:hAnsi="David" w:cs="David"/>
          <w:b/>
          <w:bCs/>
          <w:color w:val="0070C0"/>
          <w:sz w:val="24"/>
          <w:szCs w:val="24"/>
          <w:rtl/>
        </w:rPr>
        <w:t>מ</w:t>
      </w:r>
      <w:r w:rsidRPr="002C3403">
        <w:rPr>
          <w:rFonts w:ascii="David" w:hAnsi="David" w:cs="David"/>
          <w:b/>
          <w:bCs/>
          <w:color w:val="0070C0"/>
          <w:sz w:val="24"/>
          <w:szCs w:val="24"/>
          <w:rtl/>
        </w:rPr>
        <w:t>יום 27/10/</w:t>
      </w:r>
      <w:r w:rsidR="00C425E4" w:rsidRPr="002C3403">
        <w:rPr>
          <w:rFonts w:ascii="David" w:hAnsi="David" w:cs="David"/>
          <w:b/>
          <w:bCs/>
          <w:color w:val="0070C0"/>
          <w:sz w:val="24"/>
          <w:szCs w:val="24"/>
          <w:rtl/>
        </w:rPr>
        <w:t>20</w:t>
      </w:r>
      <w:r w:rsidRPr="002C3403">
        <w:rPr>
          <w:rFonts w:ascii="David" w:hAnsi="David" w:cs="David"/>
          <w:b/>
          <w:bCs/>
          <w:color w:val="0070C0"/>
          <w:sz w:val="24"/>
          <w:szCs w:val="24"/>
          <w:rtl/>
        </w:rPr>
        <w:t>14.</w:t>
      </w:r>
    </w:p>
    <w:p w14:paraId="44264523" w14:textId="4E11CA17" w:rsidR="00223701" w:rsidRPr="002C3403" w:rsidRDefault="00223701" w:rsidP="00C425E4">
      <w:pPr>
        <w:pStyle w:val="a5"/>
        <w:tabs>
          <w:tab w:val="clear" w:pos="4153"/>
          <w:tab w:val="left" w:pos="3806"/>
          <w:tab w:val="center" w:pos="5606"/>
        </w:tabs>
        <w:jc w:val="both"/>
        <w:rPr>
          <w:rFonts w:ascii="David" w:hAnsi="David" w:cs="David"/>
          <w:b/>
          <w:bCs/>
          <w:color w:val="0070C0"/>
          <w:sz w:val="24"/>
          <w:szCs w:val="24"/>
          <w:rtl/>
        </w:rPr>
      </w:pPr>
      <w:r w:rsidRPr="002C3403">
        <w:rPr>
          <w:rFonts w:ascii="David" w:hAnsi="David" w:cs="David"/>
          <w:b/>
          <w:bCs/>
          <w:color w:val="0070C0"/>
          <w:sz w:val="24"/>
          <w:szCs w:val="24"/>
          <w:rtl/>
        </w:rPr>
        <w:t xml:space="preserve">אושר בישיבת הדירקטוריון מס' 2/2015 </w:t>
      </w:r>
      <w:r w:rsidR="00C425E4" w:rsidRPr="002C3403">
        <w:rPr>
          <w:rFonts w:ascii="David" w:hAnsi="David" w:cs="David"/>
          <w:b/>
          <w:bCs/>
          <w:color w:val="0070C0"/>
          <w:sz w:val="24"/>
          <w:szCs w:val="24"/>
          <w:rtl/>
        </w:rPr>
        <w:t>מ</w:t>
      </w:r>
      <w:r w:rsidRPr="002C3403">
        <w:rPr>
          <w:rFonts w:ascii="David" w:hAnsi="David" w:cs="David"/>
          <w:b/>
          <w:bCs/>
          <w:color w:val="0070C0"/>
          <w:sz w:val="24"/>
          <w:szCs w:val="24"/>
          <w:rtl/>
        </w:rPr>
        <w:t>יום 23/3/2015.</w:t>
      </w:r>
    </w:p>
    <w:p w14:paraId="0B371DDE" w14:textId="5AEFB17A" w:rsidR="00C425E4" w:rsidRPr="002C3403" w:rsidRDefault="005B5BBC" w:rsidP="006A4B6C">
      <w:pPr>
        <w:pStyle w:val="a5"/>
        <w:tabs>
          <w:tab w:val="clear" w:pos="4153"/>
          <w:tab w:val="left" w:pos="3806"/>
          <w:tab w:val="center" w:pos="5606"/>
        </w:tabs>
        <w:jc w:val="both"/>
        <w:rPr>
          <w:rFonts w:ascii="David" w:hAnsi="David" w:cs="David"/>
          <w:b/>
          <w:bCs/>
          <w:color w:val="0070C0"/>
          <w:sz w:val="24"/>
          <w:szCs w:val="24"/>
          <w:rtl/>
        </w:rPr>
      </w:pPr>
      <w:r w:rsidRPr="002C3403">
        <w:rPr>
          <w:rFonts w:ascii="David" w:hAnsi="David" w:cs="David"/>
          <w:b/>
          <w:bCs/>
          <w:color w:val="0070C0"/>
          <w:sz w:val="24"/>
          <w:szCs w:val="24"/>
          <w:rtl/>
        </w:rPr>
        <w:t xml:space="preserve">אושר בוועדת הביקורת / ועדת תגמול מס' </w:t>
      </w:r>
      <w:r w:rsidR="006A4B6C" w:rsidRPr="002C3403">
        <w:rPr>
          <w:rFonts w:ascii="David" w:hAnsi="David" w:cs="David"/>
          <w:b/>
          <w:bCs/>
          <w:color w:val="0070C0"/>
          <w:sz w:val="24"/>
          <w:szCs w:val="24"/>
          <w:rtl/>
        </w:rPr>
        <w:t>2/2016</w:t>
      </w:r>
      <w:r w:rsidRPr="002C3403">
        <w:rPr>
          <w:rFonts w:ascii="David" w:hAnsi="David" w:cs="David"/>
          <w:b/>
          <w:bCs/>
          <w:color w:val="0070C0"/>
          <w:sz w:val="24"/>
          <w:szCs w:val="24"/>
          <w:rtl/>
        </w:rPr>
        <w:t xml:space="preserve"> מיום</w:t>
      </w:r>
      <w:r w:rsidR="00C425E4" w:rsidRPr="002C3403">
        <w:rPr>
          <w:rFonts w:ascii="David" w:hAnsi="David" w:cs="David"/>
          <w:b/>
          <w:bCs/>
          <w:color w:val="0070C0"/>
          <w:sz w:val="24"/>
          <w:szCs w:val="24"/>
          <w:rtl/>
        </w:rPr>
        <w:t xml:space="preserve"> 22/03/2016</w:t>
      </w:r>
    </w:p>
    <w:p w14:paraId="5C81926E" w14:textId="5A4B4AC7" w:rsidR="009A13C8" w:rsidRPr="002C3403" w:rsidRDefault="005B5BBC" w:rsidP="00B1314C">
      <w:pPr>
        <w:pStyle w:val="a5"/>
        <w:tabs>
          <w:tab w:val="clear" w:pos="4153"/>
          <w:tab w:val="left" w:pos="3806"/>
          <w:tab w:val="center" w:pos="5606"/>
        </w:tabs>
        <w:jc w:val="both"/>
        <w:rPr>
          <w:rFonts w:ascii="David" w:hAnsi="David" w:cs="David"/>
          <w:b/>
          <w:bCs/>
          <w:color w:val="0070C0"/>
          <w:rtl/>
        </w:rPr>
      </w:pPr>
      <w:r w:rsidRPr="002C3403">
        <w:rPr>
          <w:rFonts w:ascii="David" w:hAnsi="David" w:cs="David"/>
          <w:b/>
          <w:bCs/>
          <w:color w:val="0070C0"/>
          <w:sz w:val="24"/>
          <w:szCs w:val="24"/>
          <w:rtl/>
        </w:rPr>
        <w:t xml:space="preserve">ובישיבת הדירקטורון מס' </w:t>
      </w:r>
      <w:r w:rsidR="006A4B6C" w:rsidRPr="002C3403">
        <w:rPr>
          <w:rFonts w:ascii="David" w:hAnsi="David" w:cs="David"/>
          <w:b/>
          <w:bCs/>
          <w:color w:val="0070C0"/>
          <w:sz w:val="24"/>
          <w:szCs w:val="24"/>
          <w:rtl/>
        </w:rPr>
        <w:t>2/2016</w:t>
      </w:r>
      <w:r w:rsidRPr="002C3403">
        <w:rPr>
          <w:rFonts w:ascii="David" w:hAnsi="David" w:cs="David"/>
          <w:b/>
          <w:bCs/>
          <w:color w:val="0070C0"/>
          <w:sz w:val="24"/>
          <w:szCs w:val="24"/>
          <w:rtl/>
        </w:rPr>
        <w:t xml:space="preserve"> מיום</w:t>
      </w:r>
      <w:r w:rsidR="006A4B6C" w:rsidRPr="002C3403">
        <w:rPr>
          <w:rFonts w:ascii="David" w:hAnsi="David" w:cs="David"/>
          <w:b/>
          <w:bCs/>
          <w:color w:val="0070C0"/>
          <w:sz w:val="24"/>
          <w:szCs w:val="24"/>
          <w:rtl/>
        </w:rPr>
        <w:t xml:space="preserve"> 28/03.2016</w:t>
      </w:r>
      <w:r w:rsidR="006A4B6C" w:rsidRPr="002C3403">
        <w:rPr>
          <w:rFonts w:ascii="David" w:hAnsi="David" w:cs="David"/>
          <w:b/>
          <w:bCs/>
          <w:color w:val="0070C0"/>
          <w:rtl/>
        </w:rPr>
        <w:t>.</w:t>
      </w:r>
    </w:p>
    <w:p w14:paraId="158008E4" w14:textId="0129D0E5" w:rsidR="0023089A" w:rsidRPr="002C3403" w:rsidRDefault="0023089A" w:rsidP="00B1314C">
      <w:pPr>
        <w:pStyle w:val="a5"/>
        <w:tabs>
          <w:tab w:val="clear" w:pos="4153"/>
          <w:tab w:val="left" w:pos="3806"/>
          <w:tab w:val="center" w:pos="5606"/>
        </w:tabs>
        <w:jc w:val="both"/>
        <w:rPr>
          <w:rFonts w:ascii="David" w:hAnsi="David" w:cs="David"/>
          <w:b/>
          <w:bCs/>
          <w:color w:val="0070C0"/>
          <w:sz w:val="24"/>
          <w:szCs w:val="24"/>
          <w:rtl/>
        </w:rPr>
      </w:pPr>
      <w:r w:rsidRPr="002C3403">
        <w:rPr>
          <w:rFonts w:ascii="David" w:hAnsi="David" w:cs="David"/>
          <w:b/>
          <w:bCs/>
          <w:color w:val="0070C0"/>
          <w:sz w:val="24"/>
          <w:szCs w:val="24"/>
          <w:rtl/>
        </w:rPr>
        <w:t>אושר בוועדת ביקרות /ועדת תגמול מס' 1/2018 מיום 23/01/2018</w:t>
      </w:r>
    </w:p>
    <w:p w14:paraId="39BB751C" w14:textId="743A8017" w:rsidR="0023089A" w:rsidRPr="002C3403" w:rsidRDefault="0023089A" w:rsidP="00B1314C">
      <w:pPr>
        <w:pStyle w:val="a5"/>
        <w:tabs>
          <w:tab w:val="clear" w:pos="4153"/>
          <w:tab w:val="left" w:pos="3806"/>
          <w:tab w:val="center" w:pos="5606"/>
        </w:tabs>
        <w:jc w:val="both"/>
        <w:rPr>
          <w:rFonts w:ascii="David" w:hAnsi="David" w:cs="David"/>
          <w:b/>
          <w:bCs/>
          <w:color w:val="0070C0"/>
          <w:sz w:val="24"/>
          <w:szCs w:val="24"/>
          <w:rtl/>
        </w:rPr>
      </w:pPr>
      <w:r w:rsidRPr="002C3403">
        <w:rPr>
          <w:rFonts w:ascii="David" w:hAnsi="David" w:cs="David"/>
          <w:b/>
          <w:bCs/>
          <w:color w:val="0070C0"/>
          <w:sz w:val="24"/>
          <w:szCs w:val="24"/>
          <w:rtl/>
        </w:rPr>
        <w:t>אושר בישיבת הדירקטוריון מס' 2/2018 מיום 27/03/2018.</w:t>
      </w:r>
    </w:p>
    <w:p w14:paraId="0C6EE0CE" w14:textId="54E5B109" w:rsidR="000A6513" w:rsidRDefault="00695533" w:rsidP="00B1314C">
      <w:pPr>
        <w:pStyle w:val="a5"/>
        <w:tabs>
          <w:tab w:val="clear" w:pos="4153"/>
          <w:tab w:val="left" w:pos="3806"/>
          <w:tab w:val="center" w:pos="5606"/>
        </w:tabs>
        <w:jc w:val="both"/>
        <w:rPr>
          <w:rFonts w:ascii="David" w:hAnsi="David" w:cs="David"/>
          <w:b/>
          <w:bCs/>
          <w:color w:val="0070C0"/>
          <w:sz w:val="24"/>
          <w:szCs w:val="24"/>
          <w:rtl/>
        </w:rPr>
      </w:pPr>
      <w:r w:rsidRPr="002C3403">
        <w:rPr>
          <w:rFonts w:ascii="David" w:hAnsi="David" w:cs="David"/>
          <w:b/>
          <w:bCs/>
          <w:color w:val="0070C0"/>
          <w:sz w:val="24"/>
          <w:szCs w:val="24"/>
          <w:rtl/>
        </w:rPr>
        <w:t>אושר בוועדת ביקורת/ועדת תגמול מיום 20/12/2018.</w:t>
      </w:r>
      <w:r w:rsidR="002C3403">
        <w:rPr>
          <w:rFonts w:ascii="David" w:hAnsi="David" w:cs="David" w:hint="cs"/>
          <w:b/>
          <w:bCs/>
          <w:color w:val="0070C0"/>
          <w:sz w:val="24"/>
          <w:szCs w:val="24"/>
          <w:rtl/>
        </w:rPr>
        <w:t xml:space="preserve"> </w:t>
      </w:r>
      <w:r w:rsidR="000A6513">
        <w:rPr>
          <w:rFonts w:ascii="David" w:hAnsi="David" w:cs="David" w:hint="cs"/>
          <w:b/>
          <w:bCs/>
          <w:color w:val="0070C0"/>
          <w:sz w:val="24"/>
          <w:szCs w:val="24"/>
          <w:rtl/>
        </w:rPr>
        <w:t>ובדירקטוריון 30.12.2018.</w:t>
      </w:r>
    </w:p>
    <w:p w14:paraId="6826AB3F" w14:textId="4A524F39" w:rsidR="00695533" w:rsidRDefault="000A6513" w:rsidP="00B1314C">
      <w:pPr>
        <w:pStyle w:val="a5"/>
        <w:tabs>
          <w:tab w:val="clear" w:pos="4153"/>
          <w:tab w:val="left" w:pos="3806"/>
          <w:tab w:val="center" w:pos="5606"/>
        </w:tabs>
        <w:jc w:val="both"/>
        <w:rPr>
          <w:rFonts w:ascii="David" w:hAnsi="David" w:cs="David"/>
          <w:b/>
          <w:bCs/>
          <w:color w:val="0070C0"/>
          <w:sz w:val="24"/>
          <w:szCs w:val="24"/>
          <w:rtl/>
        </w:rPr>
      </w:pPr>
      <w:r>
        <w:rPr>
          <w:rFonts w:ascii="David" w:hAnsi="David" w:cs="David" w:hint="cs"/>
          <w:b/>
          <w:bCs/>
          <w:color w:val="0070C0"/>
          <w:sz w:val="24"/>
          <w:szCs w:val="24"/>
          <w:rtl/>
        </w:rPr>
        <w:t xml:space="preserve">אושר בביקורת מיום  </w:t>
      </w:r>
      <w:r w:rsidR="0087708B">
        <w:rPr>
          <w:rFonts w:ascii="David" w:hAnsi="David" w:cs="David" w:hint="cs"/>
          <w:b/>
          <w:bCs/>
          <w:color w:val="0070C0"/>
          <w:sz w:val="24"/>
          <w:szCs w:val="24"/>
          <w:rtl/>
        </w:rPr>
        <w:t>10.6.2020</w:t>
      </w:r>
      <w:r>
        <w:rPr>
          <w:rFonts w:ascii="David" w:hAnsi="David" w:cs="David" w:hint="cs"/>
          <w:b/>
          <w:bCs/>
          <w:color w:val="0070C0"/>
          <w:sz w:val="24"/>
          <w:szCs w:val="24"/>
          <w:rtl/>
        </w:rPr>
        <w:t xml:space="preserve"> </w:t>
      </w:r>
      <w:r w:rsidR="002C3403">
        <w:rPr>
          <w:rFonts w:ascii="David" w:hAnsi="David" w:cs="David" w:hint="cs"/>
          <w:b/>
          <w:bCs/>
          <w:color w:val="0070C0"/>
          <w:sz w:val="24"/>
          <w:szCs w:val="24"/>
          <w:rtl/>
        </w:rPr>
        <w:t>ובדירקטוריון מיום 6.8.2020</w:t>
      </w:r>
    </w:p>
    <w:p w14:paraId="52B61BAB" w14:textId="0EB71016" w:rsidR="00193149" w:rsidRDefault="00193149" w:rsidP="00B1314C">
      <w:pPr>
        <w:pStyle w:val="a5"/>
        <w:tabs>
          <w:tab w:val="clear" w:pos="4153"/>
          <w:tab w:val="left" w:pos="3806"/>
          <w:tab w:val="center" w:pos="5606"/>
        </w:tabs>
        <w:jc w:val="both"/>
        <w:rPr>
          <w:rFonts w:ascii="David" w:hAnsi="David" w:cs="David"/>
          <w:b/>
          <w:bCs/>
          <w:color w:val="0070C0"/>
          <w:sz w:val="24"/>
          <w:szCs w:val="24"/>
          <w:rtl/>
        </w:rPr>
      </w:pPr>
      <w:r>
        <w:rPr>
          <w:rFonts w:ascii="David" w:hAnsi="David" w:cs="David" w:hint="cs"/>
          <w:b/>
          <w:bCs/>
          <w:color w:val="0070C0"/>
          <w:sz w:val="24"/>
          <w:szCs w:val="24"/>
          <w:rtl/>
        </w:rPr>
        <w:t xml:space="preserve">אושר בביקורת מיום 22.11.2021 ובדירקטוריון מיום </w:t>
      </w:r>
      <w:r w:rsidR="00F35E1C">
        <w:rPr>
          <w:rFonts w:ascii="David" w:hAnsi="David" w:cs="David" w:hint="cs"/>
          <w:b/>
          <w:bCs/>
          <w:color w:val="0070C0"/>
          <w:sz w:val="24"/>
          <w:szCs w:val="24"/>
          <w:rtl/>
        </w:rPr>
        <w:t>29.11.2021</w:t>
      </w:r>
    </w:p>
    <w:p w14:paraId="1FF0D89D" w14:textId="58691ADE" w:rsidR="001E240F" w:rsidRPr="002C3403" w:rsidRDefault="001E240F" w:rsidP="00B1314C">
      <w:pPr>
        <w:pStyle w:val="a5"/>
        <w:tabs>
          <w:tab w:val="clear" w:pos="4153"/>
          <w:tab w:val="left" w:pos="3806"/>
          <w:tab w:val="center" w:pos="5606"/>
        </w:tabs>
        <w:jc w:val="both"/>
        <w:rPr>
          <w:rFonts w:ascii="David" w:hAnsi="David" w:cs="David"/>
          <w:b/>
          <w:bCs/>
          <w:color w:val="0070C0"/>
          <w:sz w:val="24"/>
          <w:szCs w:val="24"/>
          <w:rtl/>
        </w:rPr>
      </w:pPr>
      <w:r>
        <w:rPr>
          <w:rFonts w:ascii="David" w:hAnsi="David" w:cs="David" w:hint="cs"/>
          <w:b/>
          <w:bCs/>
          <w:color w:val="0070C0"/>
          <w:sz w:val="24"/>
          <w:szCs w:val="24"/>
          <w:rtl/>
        </w:rPr>
        <w:t>אושר בביקורת מיום 23.11.2022 ובדירקטוריון 6/2022 מיום 29.11.2022</w:t>
      </w:r>
    </w:p>
    <w:p w14:paraId="71DB7C6B" w14:textId="77777777" w:rsidR="009A13C8" w:rsidRPr="002C3403" w:rsidRDefault="009A13C8" w:rsidP="00223701">
      <w:pPr>
        <w:pStyle w:val="a3"/>
        <w:tabs>
          <w:tab w:val="left" w:pos="3836"/>
        </w:tabs>
        <w:ind w:left="0" w:firstLine="26"/>
        <w:jc w:val="left"/>
        <w:rPr>
          <w:rFonts w:ascii="David" w:hAnsi="David" w:cs="David"/>
          <w:b/>
          <w:bCs/>
          <w:color w:val="0070C0"/>
          <w:sz w:val="20"/>
          <w:szCs w:val="20"/>
          <w:rtl/>
        </w:rPr>
      </w:pPr>
    </w:p>
    <w:p w14:paraId="0C411BBF" w14:textId="77777777" w:rsidR="009A13C8" w:rsidRPr="002C3403" w:rsidRDefault="009A13C8" w:rsidP="00223701">
      <w:pPr>
        <w:pStyle w:val="a3"/>
        <w:tabs>
          <w:tab w:val="left" w:pos="3836"/>
        </w:tabs>
        <w:ind w:left="0" w:firstLine="26"/>
        <w:jc w:val="left"/>
        <w:rPr>
          <w:rFonts w:ascii="David" w:hAnsi="David" w:cs="David"/>
          <w:b/>
          <w:bCs/>
          <w:color w:val="0070C0"/>
          <w:sz w:val="20"/>
          <w:szCs w:val="20"/>
          <w:rtl/>
        </w:rPr>
      </w:pPr>
    </w:p>
    <w:p w14:paraId="38D22011" w14:textId="77777777" w:rsidR="00541F7D" w:rsidRPr="002C3403" w:rsidRDefault="00541F7D" w:rsidP="00223701">
      <w:pPr>
        <w:pStyle w:val="a3"/>
        <w:tabs>
          <w:tab w:val="left" w:pos="3836"/>
        </w:tabs>
        <w:ind w:left="0" w:firstLine="26"/>
        <w:jc w:val="left"/>
        <w:rPr>
          <w:rFonts w:ascii="David" w:hAnsi="David" w:cs="David"/>
          <w:b/>
          <w:bCs/>
          <w:color w:val="0070C0"/>
          <w:sz w:val="20"/>
          <w:szCs w:val="20"/>
          <w:rtl/>
        </w:rPr>
      </w:pPr>
    </w:p>
    <w:p w14:paraId="674C3E11" w14:textId="37C537FA" w:rsidR="00541F7D" w:rsidRPr="00695533" w:rsidRDefault="00541F7D" w:rsidP="00A77C15">
      <w:pPr>
        <w:pStyle w:val="a3"/>
        <w:tabs>
          <w:tab w:val="left" w:pos="3836"/>
        </w:tabs>
        <w:ind w:left="0" w:firstLine="0"/>
        <w:jc w:val="left"/>
        <w:rPr>
          <w:rFonts w:ascii="David" w:hAnsi="David" w:cs="David"/>
          <w:rtl/>
          <w:cs/>
        </w:rPr>
      </w:pPr>
    </w:p>
    <w:sectPr w:rsidR="00541F7D" w:rsidRPr="00695533" w:rsidSect="00B26519">
      <w:footerReference w:type="even" r:id="rId8"/>
      <w:footerReference w:type="default" r:id="rId9"/>
      <w:headerReference w:type="first" r:id="rId10"/>
      <w:pgSz w:w="11906" w:h="16838"/>
      <w:pgMar w:top="1440" w:right="1800" w:bottom="1440" w:left="1800" w:header="720" w:footer="720" w:gutter="0"/>
      <w:cols w:space="720"/>
      <w:titlePg/>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59675" w14:textId="77777777" w:rsidR="00E91878" w:rsidRDefault="00E91878">
      <w:r>
        <w:separator/>
      </w:r>
    </w:p>
  </w:endnote>
  <w:endnote w:type="continuationSeparator" w:id="0">
    <w:p w14:paraId="1A5B2D16" w14:textId="77777777" w:rsidR="00E91878" w:rsidRDefault="00E9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venim MT">
    <w:panose1 w:val="02010502060101010101"/>
    <w:charset w:val="00"/>
    <w:family w:val="auto"/>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CE2E" w14:textId="77777777" w:rsidR="007132D4" w:rsidRDefault="007132D4" w:rsidP="00B131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3540631"/>
      <w:docPartObj>
        <w:docPartGallery w:val="Page Numbers (Bottom of Page)"/>
        <w:docPartUnique/>
      </w:docPartObj>
    </w:sdtPr>
    <w:sdtEndPr/>
    <w:sdtContent>
      <w:p w14:paraId="7E078006" w14:textId="79CFB074" w:rsidR="00070EE5" w:rsidRDefault="00070EE5">
        <w:pPr>
          <w:pStyle w:val="a5"/>
          <w:jc w:val="center"/>
        </w:pPr>
        <w:r>
          <w:fldChar w:fldCharType="begin"/>
        </w:r>
        <w:r>
          <w:instrText>PAGE   \* MERGEFORMAT</w:instrText>
        </w:r>
        <w:r>
          <w:fldChar w:fldCharType="separate"/>
        </w:r>
        <w:r>
          <w:rPr>
            <w:rtl/>
            <w:lang w:val="he-IL"/>
          </w:rPr>
          <w:t>2</w:t>
        </w:r>
        <w:r>
          <w:fldChar w:fldCharType="end"/>
        </w:r>
      </w:p>
    </w:sdtContent>
  </w:sdt>
  <w:p w14:paraId="3E16130D" w14:textId="77777777" w:rsidR="00B74B48" w:rsidRPr="00B74B48" w:rsidRDefault="00B74B48" w:rsidP="00B74B48">
    <w:pPr>
      <w:pStyle w:val="a3"/>
      <w:tabs>
        <w:tab w:val="left" w:pos="3836"/>
      </w:tabs>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8F56" w14:textId="77777777" w:rsidR="00E91878" w:rsidRDefault="00E91878">
      <w:r>
        <w:separator/>
      </w:r>
    </w:p>
  </w:footnote>
  <w:footnote w:type="continuationSeparator" w:id="0">
    <w:p w14:paraId="53527B88" w14:textId="77777777" w:rsidR="00E91878" w:rsidRDefault="00E91878">
      <w:r>
        <w:continuationSeparator/>
      </w:r>
    </w:p>
  </w:footnote>
  <w:footnote w:id="1">
    <w:p w14:paraId="23C00D1C" w14:textId="77777777" w:rsidR="00F15270" w:rsidRDefault="00F15270">
      <w:pPr>
        <w:pStyle w:val="af2"/>
      </w:pPr>
      <w:r>
        <w:rPr>
          <w:rStyle w:val="af4"/>
        </w:rPr>
        <w:footnoteRef/>
      </w:r>
      <w:r>
        <w:rPr>
          <w:rtl/>
        </w:rPr>
        <w:t xml:space="preserve"> </w:t>
      </w:r>
      <w:r>
        <w:rPr>
          <w:rFonts w:hint="cs"/>
          <w:rtl/>
        </w:rPr>
        <w:t>לעניין זה, "נזק חריג" ובכלל זה, הוצאה כספית משמעותית בשל קנסות או עיצומים שהוטלו על החברה ע"י רשויות מוסמכות על פי דין או על פי פסק דין, פסק בורר, הסדר פשרה וכדומה.</w:t>
      </w:r>
    </w:p>
  </w:footnote>
  <w:footnote w:id="2">
    <w:p w14:paraId="19C39EBA" w14:textId="77777777" w:rsidR="002459C8" w:rsidRDefault="002459C8">
      <w:pPr>
        <w:pStyle w:val="af2"/>
      </w:pPr>
      <w:r>
        <w:rPr>
          <w:rStyle w:val="af4"/>
        </w:rPr>
        <w:footnoteRef/>
      </w:r>
      <w:r>
        <w:rPr>
          <w:rtl/>
        </w:rPr>
        <w:t xml:space="preserve"> </w:t>
      </w:r>
      <w:r w:rsidRPr="009378A9">
        <w:rPr>
          <w:rFonts w:hint="eastAsia"/>
          <w:rtl/>
        </w:rPr>
        <w:t>לעניין</w:t>
      </w:r>
      <w:r w:rsidRPr="009378A9">
        <w:rPr>
          <w:rtl/>
        </w:rPr>
        <w:t xml:space="preserve"> זה, "שינוי של הסכם תגמול קיים" - </w:t>
      </w:r>
      <w:r w:rsidRPr="009378A9">
        <w:rPr>
          <w:rFonts w:hint="eastAsia"/>
          <w:rtl/>
        </w:rPr>
        <w:t>למעט</w:t>
      </w:r>
      <w:r w:rsidRPr="009378A9">
        <w:rPr>
          <w:rtl/>
        </w:rPr>
        <w:t xml:space="preserve"> שינוי טכני במהותו, שאינו כרוך בשינוי מהותי של סכום התגמול שמתקבל על פי הסכם התגמול </w:t>
      </w:r>
      <w:r w:rsidRPr="009378A9">
        <w:rPr>
          <w:rFonts w:hint="eastAsia"/>
          <w:rtl/>
        </w:rPr>
        <w:t>הקיים</w:t>
      </w:r>
      <w:r w:rsidRPr="009378A9">
        <w:rPr>
          <w:rtl/>
        </w:rPr>
        <w:t xml:space="preserve"> </w:t>
      </w:r>
      <w:r w:rsidRPr="009378A9">
        <w:rPr>
          <w:rFonts w:hint="eastAsia"/>
          <w:rtl/>
        </w:rPr>
        <w:t>או</w:t>
      </w:r>
      <w:r w:rsidRPr="009378A9">
        <w:rPr>
          <w:rtl/>
        </w:rPr>
        <w:t xml:space="preserve"> </w:t>
      </w:r>
      <w:r w:rsidRPr="009378A9">
        <w:rPr>
          <w:rFonts w:hint="eastAsia"/>
          <w:rtl/>
        </w:rPr>
        <w:t>על</w:t>
      </w:r>
      <w:r w:rsidRPr="009378A9">
        <w:rPr>
          <w:rtl/>
        </w:rPr>
        <w:t xml:space="preserve"> </w:t>
      </w:r>
      <w:r w:rsidRPr="009378A9">
        <w:rPr>
          <w:rFonts w:hint="eastAsia"/>
          <w:rtl/>
        </w:rPr>
        <w:t>פי</w:t>
      </w:r>
      <w:r w:rsidRPr="009378A9">
        <w:rPr>
          <w:rtl/>
        </w:rPr>
        <w:t xml:space="preserve"> </w:t>
      </w:r>
      <w:r w:rsidRPr="009378A9">
        <w:rPr>
          <w:rFonts w:hint="eastAsia"/>
          <w:rtl/>
        </w:rPr>
        <w:t>מנגנון</w:t>
      </w:r>
      <w:r w:rsidRPr="009378A9">
        <w:rPr>
          <w:rtl/>
        </w:rPr>
        <w:t xml:space="preserve"> </w:t>
      </w:r>
      <w:r w:rsidRPr="009378A9">
        <w:rPr>
          <w:rFonts w:hint="eastAsia"/>
          <w:rtl/>
        </w:rPr>
        <w:t>התגמול</w:t>
      </w:r>
      <w:r w:rsidRPr="009378A9">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1"/>
      <w:gridCol w:w="4188"/>
    </w:tblGrid>
    <w:tr w:rsidR="00B26519" w:rsidRPr="006006F4" w14:paraId="5AF9BEC9" w14:textId="77777777" w:rsidTr="00312160">
      <w:trPr>
        <w:cantSplit/>
        <w:jc w:val="center"/>
      </w:trPr>
      <w:tc>
        <w:tcPr>
          <w:tcW w:w="9929" w:type="dxa"/>
          <w:gridSpan w:val="2"/>
          <w:shd w:val="clear" w:color="auto" w:fill="DAEEF3"/>
        </w:tcPr>
        <w:p w14:paraId="214E7C0D" w14:textId="4BA5E702" w:rsidR="00B26519" w:rsidRPr="006006F4" w:rsidRDefault="0058162E" w:rsidP="00B26519">
          <w:pPr>
            <w:rPr>
              <w:rFonts w:eastAsia="Calibri" w:cs="David"/>
              <w:sz w:val="28"/>
              <w:szCs w:val="28"/>
              <w:rtl/>
            </w:rPr>
          </w:pPr>
          <w:r>
            <w:rPr>
              <w:noProof/>
              <w:lang w:eastAsia="en-US"/>
            </w:rPr>
            <w:drawing>
              <wp:inline distT="0" distB="0" distL="0" distR="0" wp14:anchorId="369C1B15" wp14:editId="1DC7C8ED">
                <wp:extent cx="3200400" cy="621665"/>
                <wp:effectExtent l="0" t="0" r="0" b="6985"/>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621665"/>
                        </a:xfrm>
                        <a:prstGeom prst="rect">
                          <a:avLst/>
                        </a:prstGeom>
                        <a:noFill/>
                      </pic:spPr>
                    </pic:pic>
                  </a:graphicData>
                </a:graphic>
              </wp:inline>
            </w:drawing>
          </w:r>
        </w:p>
      </w:tc>
    </w:tr>
    <w:tr w:rsidR="00B26519" w:rsidRPr="006006F4" w14:paraId="0A294A81" w14:textId="77777777" w:rsidTr="00D37B27">
      <w:trPr>
        <w:cantSplit/>
        <w:jc w:val="center"/>
      </w:trPr>
      <w:tc>
        <w:tcPr>
          <w:tcW w:w="5741" w:type="dxa"/>
          <w:tcBorders>
            <w:right w:val="single" w:sz="4" w:space="0" w:color="auto"/>
          </w:tcBorders>
          <w:vAlign w:val="center"/>
        </w:tcPr>
        <w:p w14:paraId="3A190A79" w14:textId="47B84A28" w:rsidR="00B26519" w:rsidRPr="005A4A05" w:rsidRDefault="00223701" w:rsidP="00D24010">
          <w:pPr>
            <w:keepNext/>
            <w:spacing w:line="360" w:lineRule="auto"/>
            <w:jc w:val="both"/>
            <w:outlineLvl w:val="3"/>
            <w:rPr>
              <w:rFonts w:ascii="Arial" w:eastAsia="Calibri" w:hAnsi="Arial" w:cs="David"/>
              <w:lang w:eastAsia="zh-CN"/>
            </w:rPr>
          </w:pPr>
          <w:r w:rsidRPr="005A4A05">
            <w:rPr>
              <w:rFonts w:ascii="Arial" w:eastAsia="Calibri" w:hAnsi="Arial" w:cs="David" w:hint="cs"/>
              <w:rtl/>
              <w:lang w:eastAsia="zh-CN"/>
            </w:rPr>
            <w:t xml:space="preserve">מדיניות תגמול לשנים </w:t>
          </w:r>
          <w:r w:rsidR="00F93EFB">
            <w:rPr>
              <w:rFonts w:ascii="Arial" w:eastAsia="Calibri" w:hAnsi="Arial" w:cs="David"/>
              <w:lang w:eastAsia="zh-CN"/>
            </w:rPr>
            <w:t>2022-2023</w:t>
          </w:r>
        </w:p>
      </w:tc>
      <w:tc>
        <w:tcPr>
          <w:tcW w:w="4188" w:type="dxa"/>
          <w:tcBorders>
            <w:top w:val="single" w:sz="4" w:space="0" w:color="auto"/>
            <w:left w:val="single" w:sz="4" w:space="0" w:color="auto"/>
            <w:bottom w:val="single" w:sz="4" w:space="0" w:color="auto"/>
            <w:right w:val="single" w:sz="4" w:space="0" w:color="auto"/>
          </w:tcBorders>
          <w:vAlign w:val="center"/>
        </w:tcPr>
        <w:p w14:paraId="5E4EA553" w14:textId="633FDEF0" w:rsidR="0023089A" w:rsidRPr="00F93EFB" w:rsidRDefault="00F93EFB" w:rsidP="00193149">
          <w:pPr>
            <w:keepNext/>
            <w:spacing w:line="360" w:lineRule="auto"/>
            <w:ind w:right="32"/>
            <w:outlineLvl w:val="3"/>
            <w:rPr>
              <w:rFonts w:ascii="David" w:eastAsia="Calibri" w:hAnsi="David" w:cs="David"/>
              <w:sz w:val="18"/>
              <w:szCs w:val="18"/>
              <w:lang w:eastAsia="zh-CN"/>
            </w:rPr>
          </w:pPr>
          <w:r>
            <w:rPr>
              <w:rFonts w:ascii="David" w:eastAsia="Calibri" w:hAnsi="David" w:cs="David" w:hint="cs"/>
              <w:sz w:val="18"/>
              <w:szCs w:val="18"/>
              <w:rtl/>
              <w:lang w:eastAsia="zh-CN"/>
            </w:rPr>
            <w:t xml:space="preserve">אושר בדירקטוריון 6/2022 מיום 29.11.2022 </w:t>
          </w:r>
        </w:p>
      </w:tc>
    </w:tr>
    <w:tr w:rsidR="00B26519" w:rsidRPr="006006F4" w14:paraId="7120AC88" w14:textId="77777777" w:rsidTr="00D37B27">
      <w:trPr>
        <w:cantSplit/>
        <w:jc w:val="center"/>
      </w:trPr>
      <w:tc>
        <w:tcPr>
          <w:tcW w:w="5741" w:type="dxa"/>
          <w:vAlign w:val="center"/>
        </w:tcPr>
        <w:p w14:paraId="6D1BF92C" w14:textId="77777777" w:rsidR="00B26519" w:rsidRPr="005169F0" w:rsidRDefault="00223701" w:rsidP="00B26519">
          <w:pPr>
            <w:keepNext/>
            <w:spacing w:line="360" w:lineRule="auto"/>
            <w:jc w:val="both"/>
            <w:outlineLvl w:val="3"/>
            <w:rPr>
              <w:rFonts w:ascii="Arial" w:eastAsia="Calibri" w:hAnsi="Arial" w:cs="David"/>
              <w:sz w:val="20"/>
              <w:szCs w:val="20"/>
              <w:rtl/>
              <w:lang w:eastAsia="zh-CN"/>
            </w:rPr>
          </w:pPr>
          <w:r w:rsidRPr="005169F0">
            <w:rPr>
              <w:rFonts w:ascii="Arial" w:eastAsia="Calibri" w:hAnsi="Arial" w:cs="David" w:hint="cs"/>
              <w:sz w:val="20"/>
              <w:szCs w:val="20"/>
              <w:rtl/>
              <w:lang w:eastAsia="zh-CN"/>
            </w:rPr>
            <w:t>אחריות: ועדת תגמול + דירקטוריון החברה</w:t>
          </w:r>
        </w:p>
      </w:tc>
      <w:tc>
        <w:tcPr>
          <w:tcW w:w="4188" w:type="dxa"/>
          <w:vAlign w:val="center"/>
        </w:tcPr>
        <w:p w14:paraId="653303AB" w14:textId="77777777" w:rsidR="00B26519" w:rsidRPr="005169F0" w:rsidRDefault="00223701" w:rsidP="00B26519">
          <w:pPr>
            <w:keepNext/>
            <w:spacing w:line="360" w:lineRule="auto"/>
            <w:jc w:val="both"/>
            <w:outlineLvl w:val="3"/>
            <w:rPr>
              <w:rFonts w:ascii="Arial" w:eastAsia="Calibri" w:hAnsi="Arial" w:cs="David"/>
              <w:sz w:val="20"/>
              <w:szCs w:val="20"/>
              <w:rtl/>
              <w:lang w:eastAsia="zh-CN"/>
            </w:rPr>
          </w:pPr>
          <w:r w:rsidRPr="005169F0">
            <w:rPr>
              <w:rFonts w:ascii="Arial" w:eastAsia="Calibri" w:hAnsi="Arial" w:cs="David"/>
              <w:sz w:val="20"/>
              <w:szCs w:val="20"/>
              <w:rtl/>
              <w:lang w:eastAsia="zh-CN"/>
            </w:rPr>
            <w:t xml:space="preserve">עמוד </w:t>
          </w:r>
          <w:r w:rsidRPr="005169F0">
            <w:rPr>
              <w:rFonts w:ascii="Arial" w:eastAsia="Calibri" w:hAnsi="Arial" w:cs="David"/>
              <w:sz w:val="20"/>
              <w:szCs w:val="20"/>
              <w:lang w:eastAsia="zh-CN"/>
            </w:rPr>
            <w:fldChar w:fldCharType="begin"/>
          </w:r>
          <w:r w:rsidRPr="005169F0">
            <w:rPr>
              <w:rFonts w:ascii="Arial" w:eastAsia="Calibri" w:hAnsi="Arial" w:cs="David"/>
              <w:sz w:val="20"/>
              <w:szCs w:val="20"/>
              <w:lang w:eastAsia="zh-CN"/>
            </w:rPr>
            <w:instrText xml:space="preserve"> PAGE </w:instrText>
          </w:r>
          <w:r w:rsidRPr="005169F0">
            <w:rPr>
              <w:rFonts w:ascii="Arial" w:eastAsia="Calibri" w:hAnsi="Arial" w:cs="David"/>
              <w:sz w:val="20"/>
              <w:szCs w:val="20"/>
              <w:lang w:eastAsia="zh-CN"/>
            </w:rPr>
            <w:fldChar w:fldCharType="separate"/>
          </w:r>
          <w:r w:rsidR="00D24010">
            <w:rPr>
              <w:rFonts w:ascii="Arial" w:eastAsia="Calibri" w:hAnsi="Arial" w:cs="David"/>
              <w:noProof/>
              <w:sz w:val="20"/>
              <w:szCs w:val="20"/>
              <w:rtl/>
              <w:lang w:eastAsia="zh-CN"/>
            </w:rPr>
            <w:t>1</w:t>
          </w:r>
          <w:r w:rsidRPr="005169F0">
            <w:rPr>
              <w:rFonts w:ascii="Arial" w:eastAsia="Calibri" w:hAnsi="Arial" w:cs="David"/>
              <w:sz w:val="20"/>
              <w:szCs w:val="20"/>
              <w:lang w:eastAsia="zh-CN"/>
            </w:rPr>
            <w:fldChar w:fldCharType="end"/>
          </w:r>
          <w:r w:rsidRPr="005169F0">
            <w:rPr>
              <w:rFonts w:ascii="Arial" w:eastAsia="Calibri" w:hAnsi="Arial" w:cs="David"/>
              <w:sz w:val="20"/>
              <w:szCs w:val="20"/>
              <w:rtl/>
              <w:lang w:eastAsia="zh-CN"/>
            </w:rPr>
            <w:t xml:space="preserve"> מתוך </w:t>
          </w:r>
          <w:r w:rsidRPr="005169F0">
            <w:rPr>
              <w:rFonts w:ascii="Arial" w:eastAsia="Calibri" w:hAnsi="Arial" w:cs="David"/>
              <w:sz w:val="20"/>
              <w:szCs w:val="20"/>
              <w:lang w:eastAsia="zh-CN"/>
            </w:rPr>
            <w:fldChar w:fldCharType="begin"/>
          </w:r>
          <w:r w:rsidRPr="005169F0">
            <w:rPr>
              <w:rFonts w:ascii="Arial" w:eastAsia="Calibri" w:hAnsi="Arial" w:cs="David"/>
              <w:sz w:val="20"/>
              <w:szCs w:val="20"/>
              <w:lang w:eastAsia="zh-CN"/>
            </w:rPr>
            <w:instrText xml:space="preserve"> NUMPAGES  </w:instrText>
          </w:r>
          <w:r w:rsidRPr="005169F0">
            <w:rPr>
              <w:rFonts w:ascii="Arial" w:eastAsia="Calibri" w:hAnsi="Arial" w:cs="David"/>
              <w:sz w:val="20"/>
              <w:szCs w:val="20"/>
              <w:lang w:eastAsia="zh-CN"/>
            </w:rPr>
            <w:fldChar w:fldCharType="separate"/>
          </w:r>
          <w:r w:rsidR="00D24010">
            <w:rPr>
              <w:rFonts w:ascii="Arial" w:eastAsia="Calibri" w:hAnsi="Arial" w:cs="David"/>
              <w:noProof/>
              <w:sz w:val="20"/>
              <w:szCs w:val="20"/>
              <w:rtl/>
              <w:lang w:eastAsia="zh-CN"/>
            </w:rPr>
            <w:t>8</w:t>
          </w:r>
          <w:r w:rsidRPr="005169F0">
            <w:rPr>
              <w:rFonts w:ascii="Arial" w:eastAsia="Calibri" w:hAnsi="Arial" w:cs="David"/>
              <w:sz w:val="20"/>
              <w:szCs w:val="20"/>
              <w:lang w:eastAsia="zh-CN"/>
            </w:rPr>
            <w:fldChar w:fldCharType="end"/>
          </w:r>
        </w:p>
      </w:tc>
    </w:tr>
  </w:tbl>
  <w:p w14:paraId="0D87CF73" w14:textId="77777777" w:rsidR="00B26519" w:rsidRDefault="00E1024F" w:rsidP="00B26519">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70F6"/>
    <w:multiLevelType w:val="hybridMultilevel"/>
    <w:tmpl w:val="7C3C6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A152AD"/>
    <w:multiLevelType w:val="hybridMultilevel"/>
    <w:tmpl w:val="7C3C6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B94385"/>
    <w:multiLevelType w:val="multilevel"/>
    <w:tmpl w:val="EB0233CA"/>
    <w:lvl w:ilvl="0">
      <w:start w:val="1"/>
      <w:numFmt w:val="decimal"/>
      <w:lvlRestart w:val="0"/>
      <w:lvlText w:val="%1 ."/>
      <w:lvlJc w:val="left"/>
      <w:pPr>
        <w:tabs>
          <w:tab w:val="num" w:pos="397"/>
        </w:tabs>
        <w:ind w:left="397" w:hanging="397"/>
      </w:pPr>
      <w:rPr>
        <w:rFonts w:hint="default"/>
      </w:rPr>
    </w:lvl>
    <w:lvl w:ilvl="1">
      <w:start w:val="1"/>
      <w:numFmt w:val="hebrew1"/>
      <w:lvlText w:val="%2."/>
      <w:lvlJc w:val="left"/>
      <w:pPr>
        <w:tabs>
          <w:tab w:val="num" w:pos="794"/>
        </w:tabs>
        <w:ind w:left="794" w:hanging="397"/>
      </w:pPr>
      <w:rPr>
        <w:rFonts w:hint="default"/>
        <w:b w:val="0"/>
        <w:bCs w:val="0"/>
      </w:rPr>
    </w:lvl>
    <w:lvl w:ilvl="2">
      <w:start w:val="1"/>
      <w:numFmt w:val="decimal"/>
      <w:lvlText w:val="(%3)."/>
      <w:lvlJc w:val="left"/>
      <w:pPr>
        <w:tabs>
          <w:tab w:val="num" w:pos="1247"/>
        </w:tabs>
        <w:ind w:left="1247" w:hanging="453"/>
      </w:pPr>
      <w:rPr>
        <w:rFonts w:hint="default"/>
        <w:b w:val="0"/>
        <w:bCs w:val="0"/>
      </w:rPr>
    </w:lvl>
    <w:lvl w:ilvl="3">
      <w:start w:val="1"/>
      <w:numFmt w:val="hebrew1"/>
      <w:lvlText w:val="%4."/>
      <w:lvlJc w:val="center"/>
      <w:pPr>
        <w:tabs>
          <w:tab w:val="num" w:pos="1701"/>
        </w:tabs>
        <w:ind w:left="1588" w:hanging="397"/>
      </w:pPr>
      <w:rPr>
        <w:rFonts w:hint="default"/>
        <w:b w:val="0"/>
        <w:bCs w:val="0"/>
        <w:lang w:val="en-US"/>
      </w:rPr>
    </w:lvl>
    <w:lvl w:ilvl="4">
      <w:start w:val="1"/>
      <w:numFmt w:val="hebrew1"/>
      <w:lvlText w:val="%5)"/>
      <w:lvlJc w:val="left"/>
      <w:pPr>
        <w:tabs>
          <w:tab w:val="num" w:pos="2211"/>
        </w:tabs>
        <w:ind w:left="1985" w:hanging="397"/>
      </w:pPr>
      <w:rPr>
        <w:rFonts w:ascii="Times New Roman" w:eastAsia="Calibri" w:hAnsi="Times New Roman" w:cs="David"/>
        <w:b w:val="0"/>
        <w:bCs w:val="0"/>
        <w:i w:val="0"/>
        <w:iCs w:val="0"/>
        <w:color w:val="auto"/>
      </w:rPr>
    </w:lvl>
    <w:lvl w:ilvl="5">
      <w:start w:val="1"/>
      <w:numFmt w:val="hebrew1"/>
      <w:lvlText w:val="(%6)."/>
      <w:lvlJc w:val="center"/>
      <w:pPr>
        <w:tabs>
          <w:tab w:val="num" w:pos="2721"/>
        </w:tabs>
        <w:ind w:left="2721" w:hanging="510"/>
      </w:pPr>
      <w:rPr>
        <w:rFonts w:hint="default"/>
        <w:b w:val="0"/>
        <w:bCs w:val="0"/>
        <w:i w:val="0"/>
        <w:iCs w:val="0"/>
      </w:rPr>
    </w:lvl>
    <w:lvl w:ilvl="6">
      <w:start w:val="1"/>
      <w:numFmt w:val="decimal"/>
      <w:lvlText w:val="(%7)"/>
      <w:lvlJc w:val="left"/>
      <w:pPr>
        <w:tabs>
          <w:tab w:val="num" w:pos="3118"/>
        </w:tabs>
        <w:ind w:left="3118" w:hanging="397"/>
      </w:pPr>
      <w:rPr>
        <w:rFonts w:hint="default"/>
      </w:rPr>
    </w:lvl>
    <w:lvl w:ilvl="7">
      <w:start w:val="1"/>
      <w:numFmt w:val="decimal"/>
      <w:lvlText w:val="%8)"/>
      <w:lvlJc w:val="center"/>
      <w:pPr>
        <w:tabs>
          <w:tab w:val="num" w:pos="3685"/>
        </w:tabs>
        <w:ind w:left="3685" w:hanging="567"/>
      </w:pPr>
      <w:rPr>
        <w:rFonts w:ascii="Arial Narrow" w:eastAsia="Times New Roman" w:hAnsi="Arial Narrow" w:cs="David" w:hint="default"/>
        <w:b w:val="0"/>
        <w:bCs w:val="0"/>
        <w:i w:val="0"/>
        <w:iCs w:val="0"/>
        <w:color w:val="auto"/>
      </w:rPr>
    </w:lvl>
    <w:lvl w:ilvl="8">
      <w:start w:val="1"/>
      <w:numFmt w:val="decimal"/>
      <w:lvlText w:val="%9)"/>
      <w:lvlJc w:val="left"/>
      <w:pPr>
        <w:tabs>
          <w:tab w:val="num" w:pos="4252"/>
        </w:tabs>
        <w:ind w:left="4252" w:hanging="567"/>
      </w:pPr>
      <w:rPr>
        <w:rFonts w:hint="default"/>
      </w:rPr>
    </w:lvl>
  </w:abstractNum>
  <w:abstractNum w:abstractNumId="3" w15:restartNumberingAfterBreak="0">
    <w:nsid w:val="14C741FB"/>
    <w:multiLevelType w:val="hybridMultilevel"/>
    <w:tmpl w:val="E85CBCC0"/>
    <w:lvl w:ilvl="0" w:tplc="C1427628">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10CAC"/>
    <w:multiLevelType w:val="hybridMultilevel"/>
    <w:tmpl w:val="ACD4CE08"/>
    <w:lvl w:ilvl="0" w:tplc="4954A40A">
      <w:numFmt w:val="bullet"/>
      <w:lvlText w:val="-"/>
      <w:lvlJc w:val="left"/>
      <w:pPr>
        <w:ind w:left="926" w:hanging="360"/>
      </w:pPr>
      <w:rPr>
        <w:rFonts w:ascii="David" w:eastAsia="David" w:hAnsi="David" w:cs="David"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5" w15:restartNumberingAfterBreak="0">
    <w:nsid w:val="23831B4C"/>
    <w:multiLevelType w:val="hybridMultilevel"/>
    <w:tmpl w:val="CFC69AD8"/>
    <w:lvl w:ilvl="0" w:tplc="21EE17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457C7"/>
    <w:multiLevelType w:val="hybridMultilevel"/>
    <w:tmpl w:val="E85CBCC0"/>
    <w:lvl w:ilvl="0" w:tplc="C1427628">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8279F"/>
    <w:multiLevelType w:val="hybridMultilevel"/>
    <w:tmpl w:val="A89027D8"/>
    <w:lvl w:ilvl="0" w:tplc="DD7A382E">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8" w15:restartNumberingAfterBreak="0">
    <w:nsid w:val="32373198"/>
    <w:multiLevelType w:val="multilevel"/>
    <w:tmpl w:val="B922E9AC"/>
    <w:lvl w:ilvl="0">
      <w:start w:val="5"/>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val="0"/>
        <w:bCs w:val="0"/>
        <w:u w:val="none"/>
        <w:lang w:val="en-US"/>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9" w15:restartNumberingAfterBreak="0">
    <w:nsid w:val="34450243"/>
    <w:multiLevelType w:val="hybridMultilevel"/>
    <w:tmpl w:val="7BBA23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C50A81"/>
    <w:multiLevelType w:val="multilevel"/>
    <w:tmpl w:val="3F5C0A90"/>
    <w:lvl w:ilvl="0">
      <w:start w:val="12"/>
      <w:numFmt w:val="decimal"/>
      <w:lvlText w:val="%1"/>
      <w:lvlJc w:val="left"/>
      <w:pPr>
        <w:ind w:left="375" w:hanging="375"/>
      </w:pPr>
      <w:rPr>
        <w:rFonts w:hint="default"/>
      </w:rPr>
    </w:lvl>
    <w:lvl w:ilvl="1">
      <w:start w:val="1"/>
      <w:numFmt w:val="decimal"/>
      <w:lvlText w:val="%1.%2"/>
      <w:lvlJc w:val="left"/>
      <w:pPr>
        <w:ind w:left="601" w:hanging="37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436" w:hanging="108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248" w:hanging="1440"/>
      </w:pPr>
      <w:rPr>
        <w:rFonts w:hint="default"/>
      </w:rPr>
    </w:lvl>
  </w:abstractNum>
  <w:abstractNum w:abstractNumId="11" w15:restartNumberingAfterBreak="0">
    <w:nsid w:val="41330E5D"/>
    <w:multiLevelType w:val="hybridMultilevel"/>
    <w:tmpl w:val="7C3C6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6FF7AE6"/>
    <w:multiLevelType w:val="hybridMultilevel"/>
    <w:tmpl w:val="C782726C"/>
    <w:lvl w:ilvl="0" w:tplc="21EE17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8A1BB4"/>
    <w:multiLevelType w:val="hybridMultilevel"/>
    <w:tmpl w:val="7C682E7C"/>
    <w:lvl w:ilvl="0" w:tplc="44A016DC">
      <w:numFmt w:val="bullet"/>
      <w:lvlText w:val="-"/>
      <w:lvlJc w:val="left"/>
      <w:pPr>
        <w:ind w:left="566" w:hanging="360"/>
      </w:pPr>
      <w:rPr>
        <w:rFonts w:ascii="David" w:eastAsia="Times New Roman" w:hAnsi="David" w:cs="David" w:hint="default"/>
      </w:rPr>
    </w:lvl>
    <w:lvl w:ilvl="1" w:tplc="04090003" w:tentative="1">
      <w:start w:val="1"/>
      <w:numFmt w:val="bullet"/>
      <w:lvlText w:val="o"/>
      <w:lvlJc w:val="left"/>
      <w:pPr>
        <w:ind w:left="1286" w:hanging="360"/>
      </w:pPr>
      <w:rPr>
        <w:rFonts w:ascii="Courier New" w:hAnsi="Courier New" w:cs="Courier New"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14" w15:restartNumberingAfterBreak="0">
    <w:nsid w:val="50E52B6B"/>
    <w:multiLevelType w:val="hybridMultilevel"/>
    <w:tmpl w:val="7C3C6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1915C5E"/>
    <w:multiLevelType w:val="multilevel"/>
    <w:tmpl w:val="2B607FE0"/>
    <w:lvl w:ilvl="0">
      <w:start w:val="1"/>
      <w:numFmt w:val="decimal"/>
      <w:lvlRestart w:val="0"/>
      <w:lvlText w:val="%1 ."/>
      <w:lvlJc w:val="left"/>
      <w:pPr>
        <w:tabs>
          <w:tab w:val="num" w:pos="397"/>
        </w:tabs>
        <w:ind w:left="397" w:hanging="397"/>
      </w:pPr>
      <w:rPr>
        <w:rFonts w:hint="default"/>
      </w:rPr>
    </w:lvl>
    <w:lvl w:ilvl="1">
      <w:start w:val="1"/>
      <w:numFmt w:val="hebrew1"/>
      <w:lvlText w:val="%2."/>
      <w:lvlJc w:val="left"/>
      <w:pPr>
        <w:tabs>
          <w:tab w:val="num" w:pos="794"/>
        </w:tabs>
        <w:ind w:left="794" w:hanging="397"/>
      </w:pPr>
      <w:rPr>
        <w:rFonts w:hint="default"/>
        <w:b w:val="0"/>
        <w:bCs w:val="0"/>
      </w:rPr>
    </w:lvl>
    <w:lvl w:ilvl="2">
      <w:start w:val="1"/>
      <w:numFmt w:val="decimal"/>
      <w:lvlText w:val="(%3)."/>
      <w:lvlJc w:val="left"/>
      <w:pPr>
        <w:tabs>
          <w:tab w:val="num" w:pos="1247"/>
        </w:tabs>
        <w:ind w:left="1247" w:hanging="453"/>
      </w:pPr>
      <w:rPr>
        <w:rFonts w:hint="default"/>
        <w:b w:val="0"/>
        <w:bCs w:val="0"/>
      </w:rPr>
    </w:lvl>
    <w:lvl w:ilvl="3">
      <w:start w:val="1"/>
      <w:numFmt w:val="hebrew1"/>
      <w:lvlText w:val="%4."/>
      <w:lvlJc w:val="center"/>
      <w:pPr>
        <w:tabs>
          <w:tab w:val="num" w:pos="1701"/>
        </w:tabs>
        <w:ind w:left="1588" w:hanging="397"/>
      </w:pPr>
      <w:rPr>
        <w:rFonts w:hint="default"/>
        <w:b w:val="0"/>
        <w:bCs w:val="0"/>
        <w:lang w:val="en-US"/>
      </w:rPr>
    </w:lvl>
    <w:lvl w:ilvl="4">
      <w:start w:val="1"/>
      <w:numFmt w:val="decimal"/>
      <w:lvlText w:val="(%5)."/>
      <w:lvlJc w:val="center"/>
      <w:pPr>
        <w:tabs>
          <w:tab w:val="num" w:pos="2211"/>
        </w:tabs>
        <w:ind w:left="1985" w:hanging="397"/>
      </w:pPr>
      <w:rPr>
        <w:rFonts w:cs="David" w:hint="default"/>
        <w:b w:val="0"/>
        <w:bCs w:val="0"/>
        <w:i w:val="0"/>
        <w:iCs w:val="0"/>
        <w:color w:val="auto"/>
      </w:rPr>
    </w:lvl>
    <w:lvl w:ilvl="5">
      <w:start w:val="1"/>
      <w:numFmt w:val="hebrew1"/>
      <w:lvlText w:val="(%6)."/>
      <w:lvlJc w:val="center"/>
      <w:pPr>
        <w:tabs>
          <w:tab w:val="num" w:pos="2721"/>
        </w:tabs>
        <w:ind w:left="2721" w:hanging="510"/>
      </w:pPr>
      <w:rPr>
        <w:rFonts w:hint="default"/>
        <w:b w:val="0"/>
        <w:bCs w:val="0"/>
        <w:i w:val="0"/>
        <w:iCs w:val="0"/>
      </w:rPr>
    </w:lvl>
    <w:lvl w:ilvl="6">
      <w:start w:val="1"/>
      <w:numFmt w:val="decimal"/>
      <w:lvlText w:val="%7."/>
      <w:lvlJc w:val="left"/>
      <w:pPr>
        <w:tabs>
          <w:tab w:val="num" w:pos="3118"/>
        </w:tabs>
        <w:ind w:left="3118" w:hanging="397"/>
      </w:pPr>
      <w:rPr>
        <w:rFonts w:hint="default"/>
      </w:rPr>
    </w:lvl>
    <w:lvl w:ilvl="7">
      <w:start w:val="1"/>
      <w:numFmt w:val="decimal"/>
      <w:lvlText w:val="%8)"/>
      <w:lvlJc w:val="center"/>
      <w:pPr>
        <w:tabs>
          <w:tab w:val="num" w:pos="3685"/>
        </w:tabs>
        <w:ind w:left="3685" w:hanging="567"/>
      </w:pPr>
      <w:rPr>
        <w:rFonts w:ascii="Arial Narrow" w:eastAsia="Times New Roman" w:hAnsi="Arial Narrow" w:cs="David" w:hint="default"/>
        <w:b w:val="0"/>
        <w:bCs w:val="0"/>
        <w:i w:val="0"/>
        <w:iCs w:val="0"/>
        <w:color w:val="auto"/>
      </w:rPr>
    </w:lvl>
    <w:lvl w:ilvl="8">
      <w:start w:val="1"/>
      <w:numFmt w:val="decimal"/>
      <w:lvlText w:val="%9)"/>
      <w:lvlJc w:val="left"/>
      <w:pPr>
        <w:tabs>
          <w:tab w:val="num" w:pos="4252"/>
        </w:tabs>
        <w:ind w:left="4252" w:hanging="567"/>
      </w:pPr>
      <w:rPr>
        <w:rFonts w:hint="default"/>
      </w:rPr>
    </w:lvl>
  </w:abstractNum>
  <w:abstractNum w:abstractNumId="16" w15:restartNumberingAfterBreak="0">
    <w:nsid w:val="53193535"/>
    <w:multiLevelType w:val="multilevel"/>
    <w:tmpl w:val="E780B2A8"/>
    <w:lvl w:ilvl="0">
      <w:start w:val="5"/>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val="0"/>
        <w:bCs w:val="0"/>
        <w:u w:val="non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17" w15:restartNumberingAfterBreak="0">
    <w:nsid w:val="5799429D"/>
    <w:multiLevelType w:val="multilevel"/>
    <w:tmpl w:val="720A8E5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A150B6"/>
    <w:multiLevelType w:val="hybridMultilevel"/>
    <w:tmpl w:val="C782726C"/>
    <w:lvl w:ilvl="0" w:tplc="21EE173A">
      <w:start w:val="1"/>
      <w:numFmt w:val="hebrew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39404C"/>
    <w:multiLevelType w:val="hybridMultilevel"/>
    <w:tmpl w:val="0556151E"/>
    <w:lvl w:ilvl="0" w:tplc="3AE4B49A">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644FC"/>
    <w:multiLevelType w:val="multilevel"/>
    <w:tmpl w:val="97B21906"/>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EC8486F"/>
    <w:multiLevelType w:val="hybridMultilevel"/>
    <w:tmpl w:val="4E2C710A"/>
    <w:lvl w:ilvl="0" w:tplc="8D628D5A">
      <w:numFmt w:val="bullet"/>
      <w:lvlText w:val="-"/>
      <w:lvlJc w:val="left"/>
      <w:pPr>
        <w:ind w:left="720" w:hanging="360"/>
      </w:pPr>
      <w:rPr>
        <w:rFonts w:ascii="David" w:eastAsia="Calibr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3C384C"/>
    <w:multiLevelType w:val="multilevel"/>
    <w:tmpl w:val="3E4C71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hebrew1"/>
      <w:lvlText w:val="%3."/>
      <w:lvlJc w:val="center"/>
      <w:pPr>
        <w:ind w:left="1440" w:hanging="720"/>
      </w:pPr>
      <w:rPr>
        <w:rFonts w:cs="David" w:hint="cs"/>
        <w:b w:val="0"/>
        <w:bCs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6766A19"/>
    <w:multiLevelType w:val="multilevel"/>
    <w:tmpl w:val="05C6DDC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87F7E0D"/>
    <w:multiLevelType w:val="hybridMultilevel"/>
    <w:tmpl w:val="C782726C"/>
    <w:lvl w:ilvl="0" w:tplc="21EE17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76622B"/>
    <w:multiLevelType w:val="multilevel"/>
    <w:tmpl w:val="C76AA24E"/>
    <w:lvl w:ilvl="0">
      <w:start w:val="8"/>
      <w:numFmt w:val="decimal"/>
      <w:lvlText w:val="%1"/>
      <w:lvlJc w:val="left"/>
      <w:pPr>
        <w:ind w:left="360" w:hanging="360"/>
      </w:pPr>
      <w:rPr>
        <w:rFonts w:hint="default"/>
      </w:rPr>
    </w:lvl>
    <w:lvl w:ilvl="1">
      <w:start w:val="1"/>
      <w:numFmt w:val="decimal"/>
      <w:lvlText w:val="%1.%2"/>
      <w:lvlJc w:val="left"/>
      <w:pPr>
        <w:ind w:left="564" w:hanging="360"/>
      </w:pPr>
      <w:rPr>
        <w:rFonts w:hint="default"/>
      </w:rPr>
    </w:lvl>
    <w:lvl w:ilvl="2">
      <w:start w:val="1"/>
      <w:numFmt w:val="decimal"/>
      <w:lvlText w:val="%1.%2.%3"/>
      <w:lvlJc w:val="left"/>
      <w:pPr>
        <w:ind w:left="1128" w:hanging="720"/>
      </w:pPr>
      <w:rPr>
        <w:rFonts w:hint="default"/>
      </w:rPr>
    </w:lvl>
    <w:lvl w:ilvl="3">
      <w:start w:val="1"/>
      <w:numFmt w:val="decimal"/>
      <w:lvlText w:val="%1.%2.%3.%4"/>
      <w:lvlJc w:val="left"/>
      <w:pPr>
        <w:ind w:left="1332" w:hanging="720"/>
      </w:pPr>
      <w:rPr>
        <w:rFonts w:hint="default"/>
      </w:rPr>
    </w:lvl>
    <w:lvl w:ilvl="4">
      <w:start w:val="1"/>
      <w:numFmt w:val="decimal"/>
      <w:lvlText w:val="%1.%2.%3.%4.%5"/>
      <w:lvlJc w:val="left"/>
      <w:pPr>
        <w:ind w:left="1896" w:hanging="1080"/>
      </w:pPr>
      <w:rPr>
        <w:rFonts w:hint="default"/>
      </w:rPr>
    </w:lvl>
    <w:lvl w:ilvl="5">
      <w:start w:val="1"/>
      <w:numFmt w:val="decimal"/>
      <w:lvlText w:val="%1.%2.%3.%4.%5.%6"/>
      <w:lvlJc w:val="left"/>
      <w:pPr>
        <w:ind w:left="2100" w:hanging="1080"/>
      </w:pPr>
      <w:rPr>
        <w:rFonts w:hint="default"/>
      </w:rPr>
    </w:lvl>
    <w:lvl w:ilvl="6">
      <w:start w:val="1"/>
      <w:numFmt w:val="decimal"/>
      <w:lvlText w:val="%1.%2.%3.%4.%5.%6.%7"/>
      <w:lvlJc w:val="left"/>
      <w:pPr>
        <w:ind w:left="2304" w:hanging="1080"/>
      </w:pPr>
      <w:rPr>
        <w:rFonts w:hint="default"/>
      </w:rPr>
    </w:lvl>
    <w:lvl w:ilvl="7">
      <w:start w:val="1"/>
      <w:numFmt w:val="decimal"/>
      <w:lvlText w:val="%1.%2.%3.%4.%5.%6.%7.%8"/>
      <w:lvlJc w:val="left"/>
      <w:pPr>
        <w:ind w:left="2868" w:hanging="1440"/>
      </w:pPr>
      <w:rPr>
        <w:rFonts w:hint="default"/>
      </w:rPr>
    </w:lvl>
    <w:lvl w:ilvl="8">
      <w:start w:val="1"/>
      <w:numFmt w:val="decimal"/>
      <w:lvlText w:val="%1.%2.%3.%4.%5.%6.%7.%8.%9"/>
      <w:lvlJc w:val="left"/>
      <w:pPr>
        <w:ind w:left="3072" w:hanging="1440"/>
      </w:pPr>
      <w:rPr>
        <w:rFonts w:hint="default"/>
      </w:rPr>
    </w:lvl>
  </w:abstractNum>
  <w:abstractNum w:abstractNumId="26" w15:restartNumberingAfterBreak="0">
    <w:nsid w:val="7B7E64DB"/>
    <w:multiLevelType w:val="hybridMultilevel"/>
    <w:tmpl w:val="4962C152"/>
    <w:lvl w:ilvl="0" w:tplc="21EE17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E17CBC"/>
    <w:multiLevelType w:val="hybridMultilevel"/>
    <w:tmpl w:val="4962C152"/>
    <w:lvl w:ilvl="0" w:tplc="21EE17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6501825">
    <w:abstractNumId w:val="9"/>
  </w:num>
  <w:num w:numId="2" w16cid:durableId="9171797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152846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09285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7611182">
    <w:abstractNumId w:val="23"/>
  </w:num>
  <w:num w:numId="6" w16cid:durableId="35149283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98241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42751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67188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17068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00913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15710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300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02575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7489277">
    <w:abstractNumId w:val="15"/>
  </w:num>
  <w:num w:numId="16" w16cid:durableId="2072851817">
    <w:abstractNumId w:val="2"/>
  </w:num>
  <w:num w:numId="17" w16cid:durableId="1779711199">
    <w:abstractNumId w:val="6"/>
  </w:num>
  <w:num w:numId="18" w16cid:durableId="1561164344">
    <w:abstractNumId w:val="3"/>
  </w:num>
  <w:num w:numId="19" w16cid:durableId="1354652024">
    <w:abstractNumId w:val="5"/>
  </w:num>
  <w:num w:numId="20" w16cid:durableId="1477723700">
    <w:abstractNumId w:val="24"/>
  </w:num>
  <w:num w:numId="21" w16cid:durableId="179204202">
    <w:abstractNumId w:val="20"/>
  </w:num>
  <w:num w:numId="22" w16cid:durableId="475799016">
    <w:abstractNumId w:val="27"/>
  </w:num>
  <w:num w:numId="23" w16cid:durableId="1136994220">
    <w:abstractNumId w:val="8"/>
  </w:num>
  <w:num w:numId="24" w16cid:durableId="1537429722">
    <w:abstractNumId w:val="0"/>
  </w:num>
  <w:num w:numId="25" w16cid:durableId="372927102">
    <w:abstractNumId w:val="19"/>
  </w:num>
  <w:num w:numId="26" w16cid:durableId="981813740">
    <w:abstractNumId w:val="21"/>
  </w:num>
  <w:num w:numId="27" w16cid:durableId="794328566">
    <w:abstractNumId w:val="25"/>
  </w:num>
  <w:num w:numId="28" w16cid:durableId="2105221210">
    <w:abstractNumId w:val="10"/>
  </w:num>
  <w:num w:numId="29" w16cid:durableId="86582947">
    <w:abstractNumId w:val="7"/>
  </w:num>
  <w:num w:numId="30" w16cid:durableId="691423722">
    <w:abstractNumId w:val="13"/>
  </w:num>
  <w:num w:numId="31" w16cid:durableId="274559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701"/>
    <w:rsid w:val="00010344"/>
    <w:rsid w:val="00013FA3"/>
    <w:rsid w:val="00070EE5"/>
    <w:rsid w:val="000744AC"/>
    <w:rsid w:val="000A6513"/>
    <w:rsid w:val="000C1D93"/>
    <w:rsid w:val="000C2A80"/>
    <w:rsid w:val="000F30A3"/>
    <w:rsid w:val="000F588B"/>
    <w:rsid w:val="0014606C"/>
    <w:rsid w:val="001527DB"/>
    <w:rsid w:val="00160059"/>
    <w:rsid w:val="00162796"/>
    <w:rsid w:val="00177658"/>
    <w:rsid w:val="00193149"/>
    <w:rsid w:val="001975DA"/>
    <w:rsid w:val="001B751C"/>
    <w:rsid w:val="001C0E99"/>
    <w:rsid w:val="001E240F"/>
    <w:rsid w:val="0022179D"/>
    <w:rsid w:val="00223701"/>
    <w:rsid w:val="00225706"/>
    <w:rsid w:val="0023089A"/>
    <w:rsid w:val="0023501B"/>
    <w:rsid w:val="002357AC"/>
    <w:rsid w:val="002359F6"/>
    <w:rsid w:val="00243418"/>
    <w:rsid w:val="002459C8"/>
    <w:rsid w:val="00246F71"/>
    <w:rsid w:val="00266493"/>
    <w:rsid w:val="00295ED7"/>
    <w:rsid w:val="002A5BE2"/>
    <w:rsid w:val="002C1CE0"/>
    <w:rsid w:val="002C3403"/>
    <w:rsid w:val="00341B6B"/>
    <w:rsid w:val="00344D6E"/>
    <w:rsid w:val="00365C8D"/>
    <w:rsid w:val="003877B4"/>
    <w:rsid w:val="003B44CA"/>
    <w:rsid w:val="003D40C7"/>
    <w:rsid w:val="003F2F1B"/>
    <w:rsid w:val="00430478"/>
    <w:rsid w:val="00440935"/>
    <w:rsid w:val="0044184A"/>
    <w:rsid w:val="00471969"/>
    <w:rsid w:val="004804E3"/>
    <w:rsid w:val="004A3C1D"/>
    <w:rsid w:val="004D4B36"/>
    <w:rsid w:val="004E30DF"/>
    <w:rsid w:val="004F4BB7"/>
    <w:rsid w:val="00503247"/>
    <w:rsid w:val="005121BB"/>
    <w:rsid w:val="0051367D"/>
    <w:rsid w:val="00523B39"/>
    <w:rsid w:val="00541F7D"/>
    <w:rsid w:val="00546C29"/>
    <w:rsid w:val="0058162E"/>
    <w:rsid w:val="00590E81"/>
    <w:rsid w:val="005A4A05"/>
    <w:rsid w:val="005B5BBC"/>
    <w:rsid w:val="005C53E2"/>
    <w:rsid w:val="005C732A"/>
    <w:rsid w:val="005D16D4"/>
    <w:rsid w:val="005D1F61"/>
    <w:rsid w:val="005D3734"/>
    <w:rsid w:val="00602A82"/>
    <w:rsid w:val="00623CD1"/>
    <w:rsid w:val="0067642B"/>
    <w:rsid w:val="00695533"/>
    <w:rsid w:val="006A4B6C"/>
    <w:rsid w:val="006E1C91"/>
    <w:rsid w:val="006E62F6"/>
    <w:rsid w:val="006F22FC"/>
    <w:rsid w:val="0070529B"/>
    <w:rsid w:val="007132D4"/>
    <w:rsid w:val="00717585"/>
    <w:rsid w:val="0072009B"/>
    <w:rsid w:val="0072049E"/>
    <w:rsid w:val="00732801"/>
    <w:rsid w:val="00741573"/>
    <w:rsid w:val="00753B45"/>
    <w:rsid w:val="00785534"/>
    <w:rsid w:val="00794E59"/>
    <w:rsid w:val="007B64E3"/>
    <w:rsid w:val="007C2B43"/>
    <w:rsid w:val="007E1FBC"/>
    <w:rsid w:val="007F3C7E"/>
    <w:rsid w:val="008101CF"/>
    <w:rsid w:val="00815CAB"/>
    <w:rsid w:val="008203C6"/>
    <w:rsid w:val="0082140E"/>
    <w:rsid w:val="00852104"/>
    <w:rsid w:val="008553E2"/>
    <w:rsid w:val="00875B29"/>
    <w:rsid w:val="0087708B"/>
    <w:rsid w:val="00882AF9"/>
    <w:rsid w:val="008C6A37"/>
    <w:rsid w:val="008E3E8C"/>
    <w:rsid w:val="008E40B4"/>
    <w:rsid w:val="008E701A"/>
    <w:rsid w:val="008F1957"/>
    <w:rsid w:val="00901C46"/>
    <w:rsid w:val="00917213"/>
    <w:rsid w:val="009378A9"/>
    <w:rsid w:val="0096173E"/>
    <w:rsid w:val="00962AD9"/>
    <w:rsid w:val="00967B47"/>
    <w:rsid w:val="00971347"/>
    <w:rsid w:val="00977253"/>
    <w:rsid w:val="00977944"/>
    <w:rsid w:val="009A13C8"/>
    <w:rsid w:val="009A7A05"/>
    <w:rsid w:val="009B5E5F"/>
    <w:rsid w:val="009D61E8"/>
    <w:rsid w:val="009E1CF8"/>
    <w:rsid w:val="009E5B00"/>
    <w:rsid w:val="00A77C15"/>
    <w:rsid w:val="00A81A72"/>
    <w:rsid w:val="00A87EEA"/>
    <w:rsid w:val="00AC704A"/>
    <w:rsid w:val="00B10909"/>
    <w:rsid w:val="00B1314C"/>
    <w:rsid w:val="00B74B48"/>
    <w:rsid w:val="00B945A2"/>
    <w:rsid w:val="00B96517"/>
    <w:rsid w:val="00BC47D3"/>
    <w:rsid w:val="00BD54C5"/>
    <w:rsid w:val="00C17CB9"/>
    <w:rsid w:val="00C25906"/>
    <w:rsid w:val="00C266F0"/>
    <w:rsid w:val="00C425E4"/>
    <w:rsid w:val="00C6660A"/>
    <w:rsid w:val="00CB2390"/>
    <w:rsid w:val="00CE27F2"/>
    <w:rsid w:val="00D02E0A"/>
    <w:rsid w:val="00D211AF"/>
    <w:rsid w:val="00D24010"/>
    <w:rsid w:val="00D34B45"/>
    <w:rsid w:val="00D37EFB"/>
    <w:rsid w:val="00D41392"/>
    <w:rsid w:val="00D579F6"/>
    <w:rsid w:val="00D6221A"/>
    <w:rsid w:val="00D718BF"/>
    <w:rsid w:val="00D80BCA"/>
    <w:rsid w:val="00D819B6"/>
    <w:rsid w:val="00D97166"/>
    <w:rsid w:val="00DA1903"/>
    <w:rsid w:val="00DB78A3"/>
    <w:rsid w:val="00DC0ECE"/>
    <w:rsid w:val="00DC4422"/>
    <w:rsid w:val="00DE6521"/>
    <w:rsid w:val="00DF45B2"/>
    <w:rsid w:val="00E06D83"/>
    <w:rsid w:val="00E1024F"/>
    <w:rsid w:val="00E35060"/>
    <w:rsid w:val="00E53E52"/>
    <w:rsid w:val="00E7190C"/>
    <w:rsid w:val="00E80F27"/>
    <w:rsid w:val="00E91878"/>
    <w:rsid w:val="00EF6CF2"/>
    <w:rsid w:val="00F05BD7"/>
    <w:rsid w:val="00F15270"/>
    <w:rsid w:val="00F25532"/>
    <w:rsid w:val="00F348B4"/>
    <w:rsid w:val="00F35E1C"/>
    <w:rsid w:val="00F7731C"/>
    <w:rsid w:val="00F859A2"/>
    <w:rsid w:val="00F93EFB"/>
    <w:rsid w:val="00FB546F"/>
    <w:rsid w:val="00FC703B"/>
    <w:rsid w:val="00FD6A6E"/>
    <w:rsid w:val="00FF2E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22056"/>
  <w15:docId w15:val="{B54C643D-6ACA-459F-AF10-BAD1F90E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701"/>
    <w:pPr>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23701"/>
    <w:pPr>
      <w:tabs>
        <w:tab w:val="center" w:pos="4153"/>
        <w:tab w:val="right" w:pos="8590"/>
      </w:tabs>
      <w:ind w:left="-284" w:right="-1617" w:firstLine="1475"/>
      <w:jc w:val="center"/>
    </w:pPr>
    <w:rPr>
      <w:rFonts w:cs="Levenim MT"/>
      <w:noProof/>
      <w:sz w:val="28"/>
      <w:szCs w:val="32"/>
    </w:rPr>
  </w:style>
  <w:style w:type="character" w:customStyle="1" w:styleId="a4">
    <w:name w:val="כותרת עליונה תו"/>
    <w:basedOn w:val="a0"/>
    <w:link w:val="a3"/>
    <w:rsid w:val="00223701"/>
    <w:rPr>
      <w:rFonts w:ascii="Times New Roman" w:eastAsia="Times New Roman" w:hAnsi="Times New Roman" w:cs="Levenim MT"/>
      <w:noProof/>
      <w:sz w:val="28"/>
      <w:szCs w:val="32"/>
      <w:lang w:eastAsia="he-IL"/>
    </w:rPr>
  </w:style>
  <w:style w:type="paragraph" w:styleId="a5">
    <w:name w:val="footer"/>
    <w:basedOn w:val="a"/>
    <w:link w:val="a6"/>
    <w:uiPriority w:val="99"/>
    <w:rsid w:val="00223701"/>
    <w:pPr>
      <w:tabs>
        <w:tab w:val="center" w:pos="4153"/>
        <w:tab w:val="right" w:pos="8306"/>
      </w:tabs>
    </w:pPr>
    <w:rPr>
      <w:rFonts w:cs="Miriam"/>
      <w:noProof/>
      <w:sz w:val="20"/>
      <w:szCs w:val="20"/>
    </w:rPr>
  </w:style>
  <w:style w:type="character" w:customStyle="1" w:styleId="a6">
    <w:name w:val="כותרת תחתונה תו"/>
    <w:basedOn w:val="a0"/>
    <w:link w:val="a5"/>
    <w:uiPriority w:val="99"/>
    <w:rsid w:val="00223701"/>
    <w:rPr>
      <w:rFonts w:ascii="Times New Roman" w:eastAsia="Times New Roman" w:hAnsi="Times New Roman" w:cs="Miriam"/>
      <w:noProof/>
      <w:sz w:val="20"/>
      <w:szCs w:val="20"/>
      <w:lang w:eastAsia="he-IL"/>
    </w:rPr>
  </w:style>
  <w:style w:type="paragraph" w:styleId="a7">
    <w:name w:val="List Paragraph"/>
    <w:basedOn w:val="a"/>
    <w:uiPriority w:val="34"/>
    <w:qFormat/>
    <w:rsid w:val="00223701"/>
    <w:pPr>
      <w:spacing w:after="157" w:line="353" w:lineRule="auto"/>
      <w:ind w:left="720" w:right="1093" w:hanging="9"/>
      <w:contextualSpacing/>
      <w:jc w:val="both"/>
    </w:pPr>
    <w:rPr>
      <w:rFonts w:ascii="David" w:eastAsia="David" w:hAnsi="David" w:cs="David"/>
      <w:color w:val="000000"/>
      <w:szCs w:val="22"/>
      <w:lang w:eastAsia="en-US"/>
    </w:rPr>
  </w:style>
  <w:style w:type="paragraph" w:styleId="a8">
    <w:name w:val="Balloon Text"/>
    <w:basedOn w:val="a"/>
    <w:link w:val="a9"/>
    <w:uiPriority w:val="99"/>
    <w:semiHidden/>
    <w:unhideWhenUsed/>
    <w:rsid w:val="00C25906"/>
    <w:rPr>
      <w:rFonts w:ascii="Tahoma" w:hAnsi="Tahoma" w:cs="Tahoma"/>
      <w:sz w:val="16"/>
      <w:szCs w:val="16"/>
    </w:rPr>
  </w:style>
  <w:style w:type="character" w:customStyle="1" w:styleId="a9">
    <w:name w:val="טקסט בלונים תו"/>
    <w:basedOn w:val="a0"/>
    <w:link w:val="a8"/>
    <w:uiPriority w:val="99"/>
    <w:semiHidden/>
    <w:rsid w:val="00C25906"/>
    <w:rPr>
      <w:rFonts w:ascii="Tahoma" w:eastAsia="Times New Roman" w:hAnsi="Tahoma" w:cs="Tahoma"/>
      <w:sz w:val="16"/>
      <w:szCs w:val="16"/>
      <w:lang w:eastAsia="he-IL"/>
    </w:rPr>
  </w:style>
  <w:style w:type="paragraph" w:styleId="aa">
    <w:name w:val="endnote text"/>
    <w:basedOn w:val="a"/>
    <w:link w:val="ab"/>
    <w:uiPriority w:val="99"/>
    <w:semiHidden/>
    <w:unhideWhenUsed/>
    <w:rsid w:val="00732801"/>
    <w:rPr>
      <w:sz w:val="20"/>
      <w:szCs w:val="20"/>
    </w:rPr>
  </w:style>
  <w:style w:type="character" w:customStyle="1" w:styleId="ab">
    <w:name w:val="טקסט הערת סיום תו"/>
    <w:basedOn w:val="a0"/>
    <w:link w:val="aa"/>
    <w:uiPriority w:val="99"/>
    <w:semiHidden/>
    <w:rsid w:val="00732801"/>
    <w:rPr>
      <w:rFonts w:ascii="Times New Roman" w:eastAsia="Times New Roman" w:hAnsi="Times New Roman" w:cs="Times New Roman"/>
      <w:sz w:val="20"/>
      <w:szCs w:val="20"/>
      <w:lang w:eastAsia="he-IL"/>
    </w:rPr>
  </w:style>
  <w:style w:type="character" w:styleId="ac">
    <w:name w:val="endnote reference"/>
    <w:basedOn w:val="a0"/>
    <w:uiPriority w:val="99"/>
    <w:semiHidden/>
    <w:unhideWhenUsed/>
    <w:rsid w:val="00732801"/>
    <w:rPr>
      <w:vertAlign w:val="superscript"/>
    </w:rPr>
  </w:style>
  <w:style w:type="character" w:styleId="ad">
    <w:name w:val="annotation reference"/>
    <w:basedOn w:val="a0"/>
    <w:uiPriority w:val="99"/>
    <w:semiHidden/>
    <w:unhideWhenUsed/>
    <w:rsid w:val="005D3734"/>
    <w:rPr>
      <w:sz w:val="16"/>
      <w:szCs w:val="16"/>
    </w:rPr>
  </w:style>
  <w:style w:type="paragraph" w:styleId="ae">
    <w:name w:val="annotation text"/>
    <w:basedOn w:val="a"/>
    <w:link w:val="af"/>
    <w:uiPriority w:val="99"/>
    <w:semiHidden/>
    <w:unhideWhenUsed/>
    <w:rsid w:val="005D3734"/>
    <w:rPr>
      <w:sz w:val="20"/>
      <w:szCs w:val="20"/>
    </w:rPr>
  </w:style>
  <w:style w:type="character" w:customStyle="1" w:styleId="af">
    <w:name w:val="טקסט הערה תו"/>
    <w:basedOn w:val="a0"/>
    <w:link w:val="ae"/>
    <w:uiPriority w:val="99"/>
    <w:semiHidden/>
    <w:rsid w:val="005D3734"/>
    <w:rPr>
      <w:rFonts w:ascii="Times New Roman" w:eastAsia="Times New Roman" w:hAnsi="Times New Roman" w:cs="Times New Roman"/>
      <w:sz w:val="20"/>
      <w:szCs w:val="20"/>
      <w:lang w:eastAsia="he-IL"/>
    </w:rPr>
  </w:style>
  <w:style w:type="paragraph" w:styleId="af0">
    <w:name w:val="annotation subject"/>
    <w:basedOn w:val="ae"/>
    <w:next w:val="ae"/>
    <w:link w:val="af1"/>
    <w:uiPriority w:val="99"/>
    <w:semiHidden/>
    <w:unhideWhenUsed/>
    <w:rsid w:val="005D3734"/>
    <w:rPr>
      <w:b/>
      <w:bCs/>
    </w:rPr>
  </w:style>
  <w:style w:type="character" w:customStyle="1" w:styleId="af1">
    <w:name w:val="נושא הערה תו"/>
    <w:basedOn w:val="af"/>
    <w:link w:val="af0"/>
    <w:uiPriority w:val="99"/>
    <w:semiHidden/>
    <w:rsid w:val="005D3734"/>
    <w:rPr>
      <w:rFonts w:ascii="Times New Roman" w:eastAsia="Times New Roman" w:hAnsi="Times New Roman" w:cs="Times New Roman"/>
      <w:b/>
      <w:bCs/>
      <w:sz w:val="20"/>
      <w:szCs w:val="20"/>
      <w:lang w:eastAsia="he-IL"/>
    </w:rPr>
  </w:style>
  <w:style w:type="paragraph" w:styleId="af2">
    <w:name w:val="footnote text"/>
    <w:basedOn w:val="a"/>
    <w:link w:val="af3"/>
    <w:uiPriority w:val="99"/>
    <w:semiHidden/>
    <w:unhideWhenUsed/>
    <w:rsid w:val="002459C8"/>
    <w:rPr>
      <w:sz w:val="20"/>
      <w:szCs w:val="20"/>
    </w:rPr>
  </w:style>
  <w:style w:type="character" w:customStyle="1" w:styleId="af3">
    <w:name w:val="טקסט הערת שוליים תו"/>
    <w:basedOn w:val="a0"/>
    <w:link w:val="af2"/>
    <w:uiPriority w:val="99"/>
    <w:semiHidden/>
    <w:rsid w:val="002459C8"/>
    <w:rPr>
      <w:rFonts w:ascii="Times New Roman" w:eastAsia="Times New Roman" w:hAnsi="Times New Roman" w:cs="Times New Roman"/>
      <w:sz w:val="20"/>
      <w:szCs w:val="20"/>
      <w:lang w:eastAsia="he-IL"/>
    </w:rPr>
  </w:style>
  <w:style w:type="character" w:styleId="af4">
    <w:name w:val="footnote reference"/>
    <w:basedOn w:val="a0"/>
    <w:uiPriority w:val="99"/>
    <w:semiHidden/>
    <w:unhideWhenUsed/>
    <w:rsid w:val="002459C8"/>
    <w:rPr>
      <w:vertAlign w:val="superscript"/>
    </w:rPr>
  </w:style>
  <w:style w:type="paragraph" w:styleId="af5">
    <w:name w:val="Revision"/>
    <w:hidden/>
    <w:uiPriority w:val="99"/>
    <w:semiHidden/>
    <w:rsid w:val="00D34B45"/>
    <w:pPr>
      <w:spacing w:after="0" w:line="240" w:lineRule="auto"/>
    </w:pPr>
    <w:rPr>
      <w:rFonts w:ascii="Times New Roman" w:eastAsia="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7A919-ACA9-4EC0-AE87-6E90EC811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2784</Words>
  <Characters>13923</Characters>
  <Application>Microsoft Office Word</Application>
  <DocSecurity>0</DocSecurity>
  <Lines>116</Lines>
  <Paragraphs>33</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קרן השתלמות הנדסאים טכנאים</dc:creator>
  <cp:lastModifiedBy>sharon mutzafi</cp:lastModifiedBy>
  <cp:revision>5</cp:revision>
  <cp:lastPrinted>2021-12-07T07:31:00Z</cp:lastPrinted>
  <dcterms:created xsi:type="dcterms:W3CDTF">2022-12-01T07:40:00Z</dcterms:created>
  <dcterms:modified xsi:type="dcterms:W3CDTF">2022-12-01T07:43:00Z</dcterms:modified>
</cp:coreProperties>
</file>